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9781" w:type="dxa"/>
        <w:tblInd w:w="57" w:type="dxa"/>
        <w:tblLook w:val="04A0" w:firstRow="1" w:lastRow="0" w:firstColumn="1" w:lastColumn="0" w:noHBand="0" w:noVBand="1"/>
      </w:tblPr>
      <w:tblGrid>
        <w:gridCol w:w="3176"/>
        <w:gridCol w:w="3002"/>
        <w:gridCol w:w="1811"/>
        <w:gridCol w:w="1792"/>
      </w:tblGrid>
      <w:tr w:rsidR="00BD79C4" w:rsidRPr="00BD79C4" w14:paraId="29D0ADF8" w14:textId="77777777">
        <w:trPr>
          <w:trHeight w:val="374"/>
        </w:trPr>
        <w:tc>
          <w:tcPr>
            <w:tcW w:w="7989" w:type="dxa"/>
            <w:gridSpan w:val="3"/>
            <w:tcBorders>
              <w:top w:val="nil"/>
              <w:left w:val="nil"/>
              <w:bottom w:val="nil"/>
              <w:right w:val="nil"/>
            </w:tcBorders>
            <w:vAlign w:val="center"/>
          </w:tcPr>
          <w:p w14:paraId="72576907" w14:textId="77777777" w:rsidR="00AD43F8" w:rsidRPr="00BD79C4" w:rsidRDefault="00000000">
            <w:pPr>
              <w:spacing w:after="0" w:line="240" w:lineRule="auto"/>
              <w:rPr>
                <w:rFonts w:cs="Arial"/>
                <w:b/>
                <w:sz w:val="20"/>
                <w:szCs w:val="20"/>
              </w:rPr>
            </w:pPr>
            <w:r w:rsidRPr="00BD79C4">
              <w:rPr>
                <w:rFonts w:cs="Arial"/>
                <w:b/>
                <w:sz w:val="20"/>
                <w:szCs w:val="20"/>
              </w:rPr>
              <w:t>Stan na dzień sporządzenia prospektu informacyjnego</w:t>
            </w:r>
          </w:p>
        </w:tc>
        <w:tc>
          <w:tcPr>
            <w:tcW w:w="1792" w:type="dxa"/>
            <w:tcBorders>
              <w:top w:val="nil"/>
              <w:left w:val="nil"/>
              <w:bottom w:val="single" w:sz="4" w:space="0" w:color="auto"/>
              <w:right w:val="nil"/>
            </w:tcBorders>
            <w:vAlign w:val="center"/>
          </w:tcPr>
          <w:p w14:paraId="1E652888" w14:textId="77777777" w:rsidR="00AD43F8" w:rsidRPr="00BD79C4" w:rsidRDefault="00AD43F8">
            <w:pPr>
              <w:spacing w:after="0" w:line="240" w:lineRule="auto"/>
              <w:jc w:val="center"/>
              <w:rPr>
                <w:rFonts w:cs="Arial"/>
                <w:sz w:val="20"/>
                <w:szCs w:val="20"/>
              </w:rPr>
            </w:pPr>
          </w:p>
        </w:tc>
      </w:tr>
      <w:tr w:rsidR="00BD79C4" w:rsidRPr="00BD79C4" w14:paraId="5CB61BBA" w14:textId="77777777">
        <w:trPr>
          <w:trHeight w:val="1049"/>
        </w:trPr>
        <w:tc>
          <w:tcPr>
            <w:tcW w:w="7989" w:type="dxa"/>
            <w:gridSpan w:val="3"/>
            <w:tcBorders>
              <w:top w:val="nil"/>
              <w:left w:val="nil"/>
              <w:bottom w:val="nil"/>
              <w:right w:val="single" w:sz="4" w:space="0" w:color="auto"/>
            </w:tcBorders>
            <w:vAlign w:val="center"/>
          </w:tcPr>
          <w:p w14:paraId="13B3364E" w14:textId="77777777" w:rsidR="00AD43F8" w:rsidRPr="00BD79C4" w:rsidRDefault="00AD43F8">
            <w:pPr>
              <w:spacing w:after="0" w:line="240" w:lineRule="auto"/>
              <w:jc w:val="center"/>
              <w:rPr>
                <w:rFonts w:cs="Arial"/>
                <w:b/>
                <w:sz w:val="20"/>
                <w:szCs w:val="20"/>
              </w:rPr>
            </w:pPr>
          </w:p>
        </w:tc>
        <w:tc>
          <w:tcPr>
            <w:tcW w:w="1792" w:type="dxa"/>
            <w:tcBorders>
              <w:top w:val="single" w:sz="4" w:space="0" w:color="auto"/>
              <w:left w:val="single" w:sz="4" w:space="0" w:color="auto"/>
              <w:bottom w:val="single" w:sz="4" w:space="0" w:color="auto"/>
              <w:right w:val="single" w:sz="4" w:space="0" w:color="auto"/>
            </w:tcBorders>
            <w:vAlign w:val="center"/>
          </w:tcPr>
          <w:p w14:paraId="5D3718BD" w14:textId="150F3E88" w:rsidR="00AD43F8" w:rsidRPr="00BD79C4" w:rsidRDefault="00440446">
            <w:pPr>
              <w:spacing w:after="0" w:line="240" w:lineRule="auto"/>
              <w:jc w:val="center"/>
              <w:rPr>
                <w:rFonts w:cs="Arial"/>
                <w:sz w:val="20"/>
                <w:szCs w:val="20"/>
              </w:rPr>
            </w:pPr>
            <w:r>
              <w:rPr>
                <w:rFonts w:cs="Arial"/>
                <w:sz w:val="20"/>
                <w:szCs w:val="20"/>
              </w:rPr>
              <w:t>22</w:t>
            </w:r>
            <w:r w:rsidR="00BD79C4" w:rsidRPr="00BD79C4">
              <w:rPr>
                <w:rFonts w:cs="Arial"/>
                <w:sz w:val="20"/>
                <w:szCs w:val="20"/>
              </w:rPr>
              <w:t>.0</w:t>
            </w:r>
            <w:r>
              <w:rPr>
                <w:rFonts w:cs="Arial"/>
                <w:sz w:val="20"/>
                <w:szCs w:val="20"/>
              </w:rPr>
              <w:t>9</w:t>
            </w:r>
            <w:r w:rsidR="007E1526" w:rsidRPr="00BD79C4">
              <w:rPr>
                <w:rFonts w:cs="Arial"/>
                <w:sz w:val="20"/>
                <w:szCs w:val="20"/>
              </w:rPr>
              <w:t>.2025</w:t>
            </w:r>
          </w:p>
          <w:p w14:paraId="25BCF2AA" w14:textId="77777777" w:rsidR="00AD43F8" w:rsidRPr="00BD79C4" w:rsidRDefault="00AD43F8">
            <w:pPr>
              <w:spacing w:after="0" w:line="240" w:lineRule="auto"/>
              <w:jc w:val="center"/>
              <w:rPr>
                <w:rFonts w:cs="Arial"/>
                <w:sz w:val="20"/>
                <w:szCs w:val="20"/>
              </w:rPr>
            </w:pPr>
          </w:p>
        </w:tc>
      </w:tr>
      <w:tr w:rsidR="00BD79C4" w:rsidRPr="00BD79C4" w14:paraId="6A38E86C" w14:textId="77777777">
        <w:trPr>
          <w:trHeight w:val="612"/>
        </w:trPr>
        <w:tc>
          <w:tcPr>
            <w:tcW w:w="9781" w:type="dxa"/>
            <w:gridSpan w:val="4"/>
            <w:tcBorders>
              <w:top w:val="nil"/>
              <w:left w:val="nil"/>
              <w:bottom w:val="nil"/>
              <w:right w:val="nil"/>
            </w:tcBorders>
            <w:vAlign w:val="center"/>
          </w:tcPr>
          <w:p w14:paraId="5152A2B5" w14:textId="77777777" w:rsidR="00AD43F8" w:rsidRPr="00BD79C4" w:rsidRDefault="00000000">
            <w:pPr>
              <w:spacing w:after="0" w:line="240" w:lineRule="auto"/>
              <w:jc w:val="center"/>
              <w:rPr>
                <w:rFonts w:cs="Arial"/>
                <w:b/>
                <w:sz w:val="20"/>
                <w:szCs w:val="20"/>
              </w:rPr>
            </w:pPr>
            <w:r w:rsidRPr="00BD79C4">
              <w:rPr>
                <w:rFonts w:cs="Arial"/>
                <w:b/>
                <w:sz w:val="20"/>
                <w:szCs w:val="20"/>
              </w:rPr>
              <w:t>PROSPEKT INFORMACYJNY</w:t>
            </w:r>
          </w:p>
        </w:tc>
      </w:tr>
      <w:tr w:rsidR="00BD79C4" w:rsidRPr="00BD79C4" w14:paraId="4788E4D2" w14:textId="77777777">
        <w:trPr>
          <w:trHeight w:val="374"/>
        </w:trPr>
        <w:tc>
          <w:tcPr>
            <w:tcW w:w="9781" w:type="dxa"/>
            <w:gridSpan w:val="4"/>
            <w:tcBorders>
              <w:top w:val="nil"/>
              <w:left w:val="nil"/>
              <w:bottom w:val="nil"/>
              <w:right w:val="nil"/>
            </w:tcBorders>
            <w:vAlign w:val="center"/>
          </w:tcPr>
          <w:p w14:paraId="24395BF1" w14:textId="77777777" w:rsidR="00AD43F8" w:rsidRPr="00BD79C4" w:rsidRDefault="00000000">
            <w:pPr>
              <w:spacing w:after="0" w:line="240" w:lineRule="auto"/>
              <w:rPr>
                <w:rFonts w:cs="Arial"/>
                <w:b/>
                <w:sz w:val="20"/>
                <w:szCs w:val="20"/>
              </w:rPr>
            </w:pPr>
            <w:r w:rsidRPr="00BD79C4">
              <w:rPr>
                <w:rFonts w:cs="Arial"/>
                <w:b/>
                <w:bCs/>
                <w:sz w:val="20"/>
                <w:szCs w:val="20"/>
              </w:rPr>
              <w:t>CZĘŚĆ OGÓLNA</w:t>
            </w:r>
          </w:p>
        </w:tc>
      </w:tr>
      <w:tr w:rsidR="00BD79C4" w:rsidRPr="00BD79C4" w14:paraId="6785165F" w14:textId="77777777">
        <w:trPr>
          <w:trHeight w:val="612"/>
        </w:trPr>
        <w:tc>
          <w:tcPr>
            <w:tcW w:w="9781" w:type="dxa"/>
            <w:gridSpan w:val="4"/>
            <w:tcBorders>
              <w:top w:val="nil"/>
              <w:left w:val="nil"/>
              <w:right w:val="nil"/>
            </w:tcBorders>
            <w:vAlign w:val="center"/>
          </w:tcPr>
          <w:p w14:paraId="69BF35F0" w14:textId="77777777" w:rsidR="00AD43F8" w:rsidRPr="00BD79C4" w:rsidRDefault="00000000">
            <w:pPr>
              <w:spacing w:after="0" w:line="240" w:lineRule="auto"/>
              <w:rPr>
                <w:rFonts w:cs="Arial"/>
                <w:b/>
                <w:sz w:val="20"/>
                <w:szCs w:val="20"/>
              </w:rPr>
            </w:pPr>
            <w:r w:rsidRPr="00BD79C4">
              <w:rPr>
                <w:rFonts w:cs="Arial"/>
                <w:b/>
                <w:sz w:val="20"/>
                <w:szCs w:val="20"/>
              </w:rPr>
              <w:t>I. DANE IDENTYFIKACYJNE I KONTAKTOWE DOTYCZĄCE DEWELOPERA</w:t>
            </w:r>
          </w:p>
        </w:tc>
      </w:tr>
      <w:tr w:rsidR="00BD79C4" w:rsidRPr="00BD79C4" w14:paraId="6DCBDD07" w14:textId="77777777">
        <w:trPr>
          <w:trHeight w:val="799"/>
        </w:trPr>
        <w:tc>
          <w:tcPr>
            <w:tcW w:w="9781" w:type="dxa"/>
            <w:gridSpan w:val="4"/>
            <w:shd w:val="clear" w:color="auto" w:fill="BFBFBF" w:themeFill="background1" w:themeFillShade="BF"/>
          </w:tcPr>
          <w:p w14:paraId="77B820B6" w14:textId="77777777" w:rsidR="00AD43F8" w:rsidRPr="00BD79C4" w:rsidRDefault="00000000">
            <w:pPr>
              <w:pStyle w:val="Akapitzlist"/>
              <w:spacing w:before="120" w:after="0" w:line="240" w:lineRule="auto"/>
              <w:ind w:left="0"/>
              <w:rPr>
                <w:rFonts w:cs="Arial"/>
                <w:b/>
                <w:sz w:val="20"/>
                <w:szCs w:val="20"/>
              </w:rPr>
            </w:pPr>
            <w:r w:rsidRPr="00BD79C4">
              <w:rPr>
                <w:rFonts w:cs="Arial"/>
                <w:b/>
                <w:sz w:val="20"/>
                <w:szCs w:val="20"/>
              </w:rPr>
              <w:t>DANE DEWELOPERA</w:t>
            </w:r>
          </w:p>
        </w:tc>
      </w:tr>
      <w:tr w:rsidR="00BD79C4" w:rsidRPr="00BD79C4" w14:paraId="2C60BDFC" w14:textId="77777777">
        <w:trPr>
          <w:trHeight w:val="799"/>
        </w:trPr>
        <w:tc>
          <w:tcPr>
            <w:tcW w:w="3176" w:type="dxa"/>
            <w:vMerge w:val="restart"/>
            <w:shd w:val="clear" w:color="auto" w:fill="D9D9D9" w:themeFill="background1" w:themeFillShade="D9"/>
          </w:tcPr>
          <w:p w14:paraId="40EB3993" w14:textId="77777777" w:rsidR="00AD43F8" w:rsidRPr="00BD79C4" w:rsidRDefault="00000000">
            <w:pPr>
              <w:pStyle w:val="Akapitzlist"/>
              <w:spacing w:before="40" w:after="0" w:line="240" w:lineRule="auto"/>
              <w:ind w:left="0"/>
              <w:rPr>
                <w:rFonts w:cs="Arial"/>
                <w:sz w:val="20"/>
                <w:szCs w:val="20"/>
              </w:rPr>
            </w:pPr>
            <w:r w:rsidRPr="00BD79C4">
              <w:rPr>
                <w:rFonts w:cs="Arial"/>
                <w:sz w:val="20"/>
                <w:szCs w:val="20"/>
              </w:rPr>
              <w:t>Deweloper</w:t>
            </w:r>
          </w:p>
        </w:tc>
        <w:tc>
          <w:tcPr>
            <w:tcW w:w="6605" w:type="dxa"/>
            <w:gridSpan w:val="3"/>
            <w:tcBorders>
              <w:bottom w:val="nil"/>
            </w:tcBorders>
          </w:tcPr>
          <w:p w14:paraId="1B0C82C3" w14:textId="77777777" w:rsidR="00AD43F8" w:rsidRPr="00BD79C4" w:rsidRDefault="00000000">
            <w:pPr>
              <w:pStyle w:val="Akapitzlist"/>
              <w:spacing w:before="30" w:after="0" w:line="240" w:lineRule="auto"/>
              <w:ind w:left="0"/>
              <w:jc w:val="both"/>
              <w:rPr>
                <w:rFonts w:cs="Arial"/>
                <w:b/>
                <w:sz w:val="20"/>
                <w:szCs w:val="20"/>
              </w:rPr>
            </w:pPr>
            <w:r w:rsidRPr="00BD79C4">
              <w:rPr>
                <w:rFonts w:cs="Arial"/>
                <w:b/>
                <w:sz w:val="20"/>
                <w:szCs w:val="20"/>
              </w:rPr>
              <w:t>FABRYKA DOMÓW SPOMET SPÓŁKA AKCYJNA</w:t>
            </w:r>
          </w:p>
          <w:p w14:paraId="4A013BD2" w14:textId="77777777" w:rsidR="00AD43F8" w:rsidRPr="00BD79C4" w:rsidRDefault="00000000">
            <w:pPr>
              <w:pStyle w:val="Akapitzlist"/>
              <w:spacing w:before="30" w:after="0" w:line="240" w:lineRule="auto"/>
              <w:ind w:left="0"/>
              <w:jc w:val="both"/>
              <w:rPr>
                <w:rFonts w:cs="Arial"/>
                <w:bCs/>
                <w:sz w:val="20"/>
                <w:szCs w:val="20"/>
              </w:rPr>
            </w:pPr>
            <w:r w:rsidRPr="00BD79C4">
              <w:rPr>
                <w:rFonts w:cs="Arial"/>
                <w:bCs/>
                <w:sz w:val="20"/>
                <w:szCs w:val="20"/>
              </w:rPr>
              <w:t xml:space="preserve">Z siedzibą w Bielsku-Białej przy ul. Wypoczynkowa 98, zarejestrowaną w </w:t>
            </w:r>
            <w:r w:rsidRPr="00BD79C4">
              <w:rPr>
                <w:rFonts w:cs="Arial"/>
                <w:sz w:val="20"/>
                <w:szCs w:val="20"/>
              </w:rPr>
              <w:t xml:space="preserve">VIII Wydział Gospodarczy Krajowego Rejestru Sądowego pod numerem </w:t>
            </w:r>
            <w:r w:rsidRPr="00BD79C4">
              <w:rPr>
                <w:sz w:val="20"/>
                <w:szCs w:val="20"/>
                <w:shd w:val="clear" w:color="auto" w:fill="FFFFFF"/>
              </w:rPr>
              <w:t>KRS 0000398870</w:t>
            </w:r>
          </w:p>
        </w:tc>
      </w:tr>
      <w:tr w:rsidR="00BD79C4" w:rsidRPr="00BD79C4" w14:paraId="7AA0A0BA" w14:textId="77777777">
        <w:tc>
          <w:tcPr>
            <w:tcW w:w="3176" w:type="dxa"/>
            <w:vMerge/>
            <w:shd w:val="clear" w:color="auto" w:fill="D9D9D9" w:themeFill="background1" w:themeFillShade="D9"/>
          </w:tcPr>
          <w:p w14:paraId="16652618" w14:textId="77777777" w:rsidR="00AD43F8" w:rsidRPr="00BD79C4" w:rsidRDefault="00AD43F8">
            <w:pPr>
              <w:pStyle w:val="Akapitzlist"/>
              <w:spacing w:before="40" w:after="0" w:line="240" w:lineRule="auto"/>
              <w:ind w:left="0"/>
              <w:rPr>
                <w:rFonts w:cs="Arial"/>
                <w:b/>
                <w:sz w:val="20"/>
                <w:szCs w:val="20"/>
              </w:rPr>
            </w:pPr>
          </w:p>
        </w:tc>
        <w:tc>
          <w:tcPr>
            <w:tcW w:w="6605" w:type="dxa"/>
            <w:gridSpan w:val="3"/>
            <w:tcBorders>
              <w:top w:val="nil"/>
            </w:tcBorders>
          </w:tcPr>
          <w:p w14:paraId="41732D60" w14:textId="77777777" w:rsidR="00AD43F8" w:rsidRPr="00BD79C4" w:rsidRDefault="00AD43F8">
            <w:pPr>
              <w:pStyle w:val="Akapitzlist"/>
              <w:spacing w:after="0" w:line="240" w:lineRule="auto"/>
              <w:ind w:left="0"/>
              <w:jc w:val="both"/>
              <w:rPr>
                <w:rFonts w:cs="Arial"/>
                <w:b/>
                <w:sz w:val="20"/>
                <w:szCs w:val="20"/>
              </w:rPr>
            </w:pPr>
          </w:p>
        </w:tc>
      </w:tr>
      <w:tr w:rsidR="00BD79C4" w:rsidRPr="00BD79C4" w14:paraId="0EF10DEE" w14:textId="77777777">
        <w:trPr>
          <w:trHeight w:val="799"/>
        </w:trPr>
        <w:tc>
          <w:tcPr>
            <w:tcW w:w="3176" w:type="dxa"/>
            <w:shd w:val="clear" w:color="auto" w:fill="D9D9D9" w:themeFill="background1" w:themeFillShade="D9"/>
          </w:tcPr>
          <w:p w14:paraId="7F42EC23" w14:textId="77777777" w:rsidR="00AD43F8" w:rsidRPr="00BD79C4" w:rsidRDefault="00000000">
            <w:pPr>
              <w:pStyle w:val="Akapitzlist"/>
              <w:spacing w:before="40" w:after="0" w:line="240" w:lineRule="auto"/>
              <w:ind w:left="0"/>
              <w:rPr>
                <w:rFonts w:cs="Arial"/>
                <w:sz w:val="20"/>
                <w:szCs w:val="20"/>
              </w:rPr>
            </w:pPr>
            <w:r w:rsidRPr="00BD79C4">
              <w:rPr>
                <w:rFonts w:cs="Arial"/>
                <w:sz w:val="20"/>
                <w:szCs w:val="20"/>
              </w:rPr>
              <w:t>Adres</w:t>
            </w:r>
          </w:p>
        </w:tc>
        <w:tc>
          <w:tcPr>
            <w:tcW w:w="6605" w:type="dxa"/>
            <w:gridSpan w:val="3"/>
            <w:tcBorders>
              <w:bottom w:val="nil"/>
            </w:tcBorders>
          </w:tcPr>
          <w:p w14:paraId="456A028F" w14:textId="77777777" w:rsidR="00AD43F8" w:rsidRPr="00BD79C4" w:rsidRDefault="00000000">
            <w:pPr>
              <w:spacing w:after="0" w:line="240" w:lineRule="auto"/>
              <w:rPr>
                <w:rFonts w:cs="Arial"/>
                <w:sz w:val="20"/>
                <w:szCs w:val="20"/>
              </w:rPr>
            </w:pPr>
            <w:r w:rsidRPr="00BD79C4">
              <w:rPr>
                <w:rFonts w:cs="Arial"/>
                <w:sz w:val="20"/>
                <w:szCs w:val="20"/>
              </w:rPr>
              <w:t>Siedziba i Biuro Sprzedaży Dewelopera: ul. Wypoczynkowa 98, 43-300 Bielsko-Biała</w:t>
            </w:r>
          </w:p>
        </w:tc>
      </w:tr>
      <w:tr w:rsidR="00BD79C4" w:rsidRPr="00BD79C4" w14:paraId="2074806A" w14:textId="77777777">
        <w:tc>
          <w:tcPr>
            <w:tcW w:w="3176" w:type="dxa"/>
            <w:vMerge w:val="restart"/>
            <w:shd w:val="clear" w:color="auto" w:fill="D9D9D9" w:themeFill="background1" w:themeFillShade="D9"/>
          </w:tcPr>
          <w:p w14:paraId="0AD75465" w14:textId="77777777" w:rsidR="00AD43F8" w:rsidRPr="00BD79C4" w:rsidRDefault="00000000">
            <w:pPr>
              <w:pStyle w:val="Akapitzlist"/>
              <w:spacing w:before="40" w:after="0" w:line="240" w:lineRule="auto"/>
              <w:ind w:left="0"/>
              <w:rPr>
                <w:rFonts w:cs="Arial"/>
                <w:sz w:val="20"/>
                <w:szCs w:val="20"/>
              </w:rPr>
            </w:pPr>
            <w:r w:rsidRPr="00BD79C4">
              <w:rPr>
                <w:rFonts w:cs="Arial"/>
                <w:sz w:val="20"/>
                <w:szCs w:val="20"/>
              </w:rPr>
              <w:t>Nr NIP i REGON</w:t>
            </w:r>
          </w:p>
        </w:tc>
        <w:tc>
          <w:tcPr>
            <w:tcW w:w="3002" w:type="dxa"/>
            <w:tcBorders>
              <w:bottom w:val="nil"/>
            </w:tcBorders>
          </w:tcPr>
          <w:p w14:paraId="01CD4BEF" w14:textId="77777777" w:rsidR="00AD43F8" w:rsidRPr="00BD79C4" w:rsidRDefault="00000000">
            <w:pPr>
              <w:spacing w:after="0" w:line="240" w:lineRule="auto"/>
              <w:rPr>
                <w:sz w:val="20"/>
                <w:szCs w:val="20"/>
              </w:rPr>
            </w:pPr>
            <w:r w:rsidRPr="00BD79C4">
              <w:rPr>
                <w:sz w:val="20"/>
                <w:szCs w:val="20"/>
              </w:rPr>
              <w:t>NIP: 5732822572</w:t>
            </w:r>
          </w:p>
        </w:tc>
        <w:tc>
          <w:tcPr>
            <w:tcW w:w="3603" w:type="dxa"/>
            <w:gridSpan w:val="2"/>
            <w:tcBorders>
              <w:bottom w:val="nil"/>
            </w:tcBorders>
          </w:tcPr>
          <w:p w14:paraId="3BE6CDDE" w14:textId="77777777" w:rsidR="00AD43F8" w:rsidRPr="00BD79C4" w:rsidRDefault="00000000">
            <w:pPr>
              <w:spacing w:after="0" w:line="240" w:lineRule="auto"/>
              <w:rPr>
                <w:sz w:val="20"/>
                <w:szCs w:val="20"/>
              </w:rPr>
            </w:pPr>
            <w:r w:rsidRPr="00BD79C4">
              <w:rPr>
                <w:sz w:val="20"/>
                <w:szCs w:val="20"/>
              </w:rPr>
              <w:t>REGON: 241881063</w:t>
            </w:r>
          </w:p>
        </w:tc>
      </w:tr>
      <w:tr w:rsidR="00BD79C4" w:rsidRPr="00BD79C4" w14:paraId="69985758" w14:textId="77777777" w:rsidTr="00440446">
        <w:trPr>
          <w:trHeight w:val="252"/>
        </w:trPr>
        <w:tc>
          <w:tcPr>
            <w:tcW w:w="3176" w:type="dxa"/>
            <w:vMerge/>
            <w:tcBorders>
              <w:top w:val="nil"/>
            </w:tcBorders>
            <w:shd w:val="clear" w:color="auto" w:fill="D9D9D9" w:themeFill="background1" w:themeFillShade="D9"/>
          </w:tcPr>
          <w:p w14:paraId="306F26EB" w14:textId="77777777" w:rsidR="00AD43F8" w:rsidRPr="00BD79C4" w:rsidRDefault="00AD43F8">
            <w:pPr>
              <w:pStyle w:val="Akapitzlist"/>
              <w:spacing w:before="40" w:after="0" w:line="240" w:lineRule="auto"/>
              <w:ind w:left="0"/>
              <w:jc w:val="center"/>
              <w:rPr>
                <w:rFonts w:cs="Arial"/>
                <w:b/>
                <w:sz w:val="20"/>
                <w:szCs w:val="20"/>
              </w:rPr>
            </w:pPr>
          </w:p>
        </w:tc>
        <w:tc>
          <w:tcPr>
            <w:tcW w:w="3002" w:type="dxa"/>
            <w:tcBorders>
              <w:top w:val="nil"/>
            </w:tcBorders>
            <w:vAlign w:val="center"/>
          </w:tcPr>
          <w:p w14:paraId="3334D8FE" w14:textId="77777777" w:rsidR="00AD43F8" w:rsidRPr="00BD79C4" w:rsidRDefault="00AD43F8">
            <w:pPr>
              <w:pStyle w:val="Akapitzlist"/>
              <w:spacing w:after="0" w:line="240" w:lineRule="auto"/>
              <w:ind w:left="0"/>
              <w:jc w:val="center"/>
              <w:rPr>
                <w:rFonts w:cs="Arial"/>
                <w:sz w:val="20"/>
                <w:szCs w:val="20"/>
              </w:rPr>
            </w:pPr>
          </w:p>
        </w:tc>
        <w:tc>
          <w:tcPr>
            <w:tcW w:w="3603" w:type="dxa"/>
            <w:gridSpan w:val="2"/>
            <w:tcBorders>
              <w:top w:val="nil"/>
            </w:tcBorders>
            <w:vAlign w:val="center"/>
          </w:tcPr>
          <w:p w14:paraId="0D755707" w14:textId="77777777" w:rsidR="00AD43F8" w:rsidRPr="00BD79C4" w:rsidRDefault="00AD43F8">
            <w:pPr>
              <w:pStyle w:val="Akapitzlist"/>
              <w:spacing w:after="0" w:line="240" w:lineRule="auto"/>
              <w:ind w:left="0"/>
              <w:jc w:val="center"/>
              <w:rPr>
                <w:rFonts w:cs="Arial"/>
                <w:sz w:val="20"/>
                <w:szCs w:val="20"/>
              </w:rPr>
            </w:pPr>
          </w:p>
        </w:tc>
      </w:tr>
      <w:tr w:rsidR="00BD79C4" w:rsidRPr="00BD79C4" w14:paraId="0CC690C4" w14:textId="77777777">
        <w:trPr>
          <w:trHeight w:val="612"/>
        </w:trPr>
        <w:tc>
          <w:tcPr>
            <w:tcW w:w="3176" w:type="dxa"/>
            <w:shd w:val="clear" w:color="auto" w:fill="D9D9D9" w:themeFill="background1" w:themeFillShade="D9"/>
          </w:tcPr>
          <w:p w14:paraId="145BC6D4" w14:textId="77777777" w:rsidR="00AD43F8" w:rsidRPr="00BD79C4" w:rsidRDefault="00000000">
            <w:pPr>
              <w:pStyle w:val="Akapitzlist"/>
              <w:spacing w:before="40" w:after="0" w:line="240" w:lineRule="auto"/>
              <w:ind w:left="0"/>
              <w:rPr>
                <w:rFonts w:cs="Arial"/>
                <w:sz w:val="20"/>
                <w:szCs w:val="20"/>
              </w:rPr>
            </w:pPr>
            <w:r w:rsidRPr="00BD79C4">
              <w:rPr>
                <w:rFonts w:cs="Arial"/>
                <w:sz w:val="20"/>
                <w:szCs w:val="20"/>
              </w:rPr>
              <w:t>Nr telefonu</w:t>
            </w:r>
          </w:p>
        </w:tc>
        <w:tc>
          <w:tcPr>
            <w:tcW w:w="6605" w:type="dxa"/>
            <w:gridSpan w:val="3"/>
          </w:tcPr>
          <w:p w14:paraId="1FE77029" w14:textId="77777777" w:rsidR="00AD43F8" w:rsidRPr="00BD79C4" w:rsidRDefault="00000000">
            <w:pPr>
              <w:pStyle w:val="Akapitzlist"/>
              <w:spacing w:before="30" w:after="0" w:line="240" w:lineRule="auto"/>
              <w:ind w:left="0"/>
              <w:rPr>
                <w:rFonts w:cs="Arial"/>
                <w:sz w:val="20"/>
                <w:szCs w:val="20"/>
              </w:rPr>
            </w:pPr>
            <w:r w:rsidRPr="00BD79C4">
              <w:rPr>
                <w:rFonts w:cs="Arial"/>
                <w:sz w:val="20"/>
                <w:szCs w:val="20"/>
              </w:rPr>
              <w:t>608-587-763</w:t>
            </w:r>
          </w:p>
        </w:tc>
      </w:tr>
      <w:tr w:rsidR="00BD79C4" w:rsidRPr="00BD79C4" w14:paraId="7C483429" w14:textId="77777777">
        <w:trPr>
          <w:trHeight w:val="612"/>
        </w:trPr>
        <w:tc>
          <w:tcPr>
            <w:tcW w:w="3176" w:type="dxa"/>
            <w:shd w:val="clear" w:color="auto" w:fill="D9D9D9" w:themeFill="background1" w:themeFillShade="D9"/>
          </w:tcPr>
          <w:p w14:paraId="38AC67B3" w14:textId="77777777" w:rsidR="00AD43F8" w:rsidRPr="00BD79C4" w:rsidRDefault="00000000">
            <w:pPr>
              <w:pStyle w:val="Akapitzlist"/>
              <w:spacing w:before="40" w:after="0" w:line="240" w:lineRule="auto"/>
              <w:ind w:left="0"/>
              <w:rPr>
                <w:rFonts w:cs="Arial"/>
                <w:sz w:val="20"/>
                <w:szCs w:val="20"/>
              </w:rPr>
            </w:pPr>
            <w:r w:rsidRPr="00BD79C4">
              <w:rPr>
                <w:rFonts w:cs="Arial"/>
                <w:sz w:val="20"/>
                <w:szCs w:val="20"/>
              </w:rPr>
              <w:t>Adres poczty elektronicznej</w:t>
            </w:r>
          </w:p>
        </w:tc>
        <w:tc>
          <w:tcPr>
            <w:tcW w:w="6605" w:type="dxa"/>
            <w:gridSpan w:val="3"/>
          </w:tcPr>
          <w:p w14:paraId="49131638" w14:textId="77777777" w:rsidR="00AD43F8" w:rsidRPr="00BD79C4" w:rsidRDefault="00000000">
            <w:pPr>
              <w:pStyle w:val="Akapitzlist"/>
              <w:spacing w:before="30" w:after="0" w:line="240" w:lineRule="auto"/>
              <w:ind w:left="0"/>
              <w:rPr>
                <w:rFonts w:cs="Arial"/>
                <w:sz w:val="20"/>
                <w:szCs w:val="20"/>
              </w:rPr>
            </w:pPr>
            <w:r w:rsidRPr="00BD79C4">
              <w:rPr>
                <w:rFonts w:cs="Arial"/>
                <w:sz w:val="20"/>
                <w:szCs w:val="20"/>
              </w:rPr>
              <w:t>krzysztof.jakubiec@luxspahaus.pl</w:t>
            </w:r>
          </w:p>
        </w:tc>
      </w:tr>
      <w:tr w:rsidR="00BD79C4" w:rsidRPr="00BD79C4" w14:paraId="20757AC5" w14:textId="77777777">
        <w:trPr>
          <w:trHeight w:val="612"/>
        </w:trPr>
        <w:tc>
          <w:tcPr>
            <w:tcW w:w="3176" w:type="dxa"/>
            <w:shd w:val="clear" w:color="auto" w:fill="D9D9D9" w:themeFill="background1" w:themeFillShade="D9"/>
          </w:tcPr>
          <w:p w14:paraId="79061695" w14:textId="77777777" w:rsidR="00AD43F8" w:rsidRPr="00BD79C4" w:rsidRDefault="00000000">
            <w:pPr>
              <w:pStyle w:val="Akapitzlist"/>
              <w:spacing w:before="40" w:after="0" w:line="240" w:lineRule="auto"/>
              <w:ind w:left="0"/>
              <w:rPr>
                <w:rFonts w:cs="Arial"/>
                <w:sz w:val="20"/>
                <w:szCs w:val="20"/>
              </w:rPr>
            </w:pPr>
            <w:r w:rsidRPr="00BD79C4">
              <w:rPr>
                <w:rFonts w:cs="Arial"/>
                <w:sz w:val="20"/>
                <w:szCs w:val="20"/>
              </w:rPr>
              <w:t>Numer faksu</w:t>
            </w:r>
          </w:p>
        </w:tc>
        <w:tc>
          <w:tcPr>
            <w:tcW w:w="6605" w:type="dxa"/>
            <w:gridSpan w:val="3"/>
          </w:tcPr>
          <w:p w14:paraId="799D3E8C" w14:textId="77777777" w:rsidR="00AD43F8" w:rsidRPr="00BD79C4" w:rsidRDefault="00000000">
            <w:pPr>
              <w:pStyle w:val="Akapitzlist"/>
              <w:spacing w:before="30" w:after="0" w:line="240" w:lineRule="auto"/>
              <w:ind w:left="0"/>
              <w:rPr>
                <w:rFonts w:cs="Arial"/>
                <w:sz w:val="20"/>
                <w:szCs w:val="20"/>
              </w:rPr>
            </w:pPr>
            <w:r w:rsidRPr="00BD79C4">
              <w:rPr>
                <w:rFonts w:cs="Arial"/>
                <w:sz w:val="20"/>
                <w:szCs w:val="20"/>
              </w:rPr>
              <w:t>Nie dotyczy</w:t>
            </w:r>
          </w:p>
        </w:tc>
      </w:tr>
      <w:tr w:rsidR="00BD79C4" w:rsidRPr="00BD79C4" w14:paraId="3EB959C5" w14:textId="77777777">
        <w:trPr>
          <w:trHeight w:val="612"/>
        </w:trPr>
        <w:tc>
          <w:tcPr>
            <w:tcW w:w="3176" w:type="dxa"/>
            <w:tcBorders>
              <w:bottom w:val="single" w:sz="4" w:space="0" w:color="auto"/>
            </w:tcBorders>
            <w:shd w:val="clear" w:color="auto" w:fill="D9D9D9" w:themeFill="background1" w:themeFillShade="D9"/>
          </w:tcPr>
          <w:p w14:paraId="55F39F6C" w14:textId="77777777" w:rsidR="00AD43F8" w:rsidRPr="00BD79C4" w:rsidRDefault="00000000">
            <w:pPr>
              <w:pStyle w:val="Akapitzlist"/>
              <w:spacing w:before="40" w:after="0" w:line="240" w:lineRule="auto"/>
              <w:ind w:left="0"/>
              <w:rPr>
                <w:rFonts w:cs="Arial"/>
                <w:sz w:val="20"/>
                <w:szCs w:val="20"/>
              </w:rPr>
            </w:pPr>
            <w:r w:rsidRPr="00BD79C4">
              <w:rPr>
                <w:rFonts w:cs="Arial"/>
                <w:sz w:val="20"/>
                <w:szCs w:val="20"/>
              </w:rPr>
              <w:t>Adres strony internetowej dewelopera</w:t>
            </w:r>
          </w:p>
        </w:tc>
        <w:tc>
          <w:tcPr>
            <w:tcW w:w="6605" w:type="dxa"/>
            <w:gridSpan w:val="3"/>
            <w:tcBorders>
              <w:bottom w:val="single" w:sz="4" w:space="0" w:color="auto"/>
            </w:tcBorders>
          </w:tcPr>
          <w:p w14:paraId="7E37D37D" w14:textId="77777777" w:rsidR="00AD43F8" w:rsidRPr="00BD79C4" w:rsidRDefault="00000000">
            <w:pPr>
              <w:pStyle w:val="Akapitzlist"/>
              <w:spacing w:before="30" w:after="0" w:line="240" w:lineRule="auto"/>
              <w:ind w:left="0"/>
              <w:rPr>
                <w:rFonts w:cs="Arial"/>
                <w:sz w:val="20"/>
                <w:szCs w:val="20"/>
              </w:rPr>
            </w:pPr>
            <w:r w:rsidRPr="00BD79C4">
              <w:rPr>
                <w:rFonts w:cs="Arial"/>
                <w:sz w:val="20"/>
                <w:szCs w:val="20"/>
              </w:rPr>
              <w:t>www.domymax.pl</w:t>
            </w:r>
          </w:p>
        </w:tc>
      </w:tr>
      <w:tr w:rsidR="00BD79C4" w:rsidRPr="00BD79C4" w14:paraId="42E1F3EA" w14:textId="77777777">
        <w:trPr>
          <w:trHeight w:val="612"/>
        </w:trPr>
        <w:tc>
          <w:tcPr>
            <w:tcW w:w="9781" w:type="dxa"/>
            <w:gridSpan w:val="4"/>
            <w:tcBorders>
              <w:left w:val="nil"/>
              <w:right w:val="nil"/>
            </w:tcBorders>
            <w:vAlign w:val="center"/>
          </w:tcPr>
          <w:p w14:paraId="67B5C20A" w14:textId="77777777" w:rsidR="00AD43F8" w:rsidRPr="00BD79C4" w:rsidRDefault="00000000">
            <w:pPr>
              <w:spacing w:after="0" w:line="240" w:lineRule="auto"/>
              <w:rPr>
                <w:rFonts w:cs="Arial"/>
                <w:b/>
                <w:sz w:val="20"/>
                <w:szCs w:val="20"/>
              </w:rPr>
            </w:pPr>
            <w:r w:rsidRPr="00BD79C4">
              <w:rPr>
                <w:rFonts w:cs="Arial"/>
                <w:b/>
                <w:sz w:val="20"/>
                <w:szCs w:val="20"/>
              </w:rPr>
              <w:t>II. DOŚWIADCZENIE DEWELOPERA</w:t>
            </w:r>
          </w:p>
        </w:tc>
      </w:tr>
      <w:tr w:rsidR="00BD79C4" w:rsidRPr="00BD79C4" w14:paraId="5079AA00" w14:textId="77777777" w:rsidTr="00440446">
        <w:trPr>
          <w:trHeight w:hRule="exact" w:val="597"/>
        </w:trPr>
        <w:tc>
          <w:tcPr>
            <w:tcW w:w="9781" w:type="dxa"/>
            <w:gridSpan w:val="4"/>
            <w:shd w:val="clear" w:color="auto" w:fill="BFBFBF" w:themeFill="background1" w:themeFillShade="BF"/>
          </w:tcPr>
          <w:p w14:paraId="715742A1" w14:textId="77777777" w:rsidR="00AD43F8" w:rsidRPr="00BD79C4" w:rsidRDefault="00000000">
            <w:pPr>
              <w:pStyle w:val="Akapitzlist"/>
              <w:spacing w:before="120" w:after="0" w:line="240" w:lineRule="auto"/>
              <w:ind w:left="0"/>
              <w:rPr>
                <w:rFonts w:cs="Arial"/>
                <w:b/>
                <w:sz w:val="20"/>
                <w:szCs w:val="20"/>
              </w:rPr>
            </w:pPr>
            <w:r w:rsidRPr="00BD79C4">
              <w:rPr>
                <w:rFonts w:cs="Arial"/>
                <w:b/>
                <w:sz w:val="20"/>
                <w:szCs w:val="20"/>
              </w:rPr>
              <w:t>HISTORIA I UDOKUMENTOWANE DOŚWIADCZENIE DEWELOPERA</w:t>
            </w:r>
          </w:p>
          <w:p w14:paraId="3BA40689" w14:textId="77777777" w:rsidR="00AD43F8" w:rsidRPr="00BD79C4" w:rsidRDefault="00AD43F8">
            <w:pPr>
              <w:pStyle w:val="Akapitzlist"/>
              <w:spacing w:before="120" w:after="0" w:line="240" w:lineRule="auto"/>
              <w:ind w:left="0"/>
              <w:rPr>
                <w:rFonts w:cs="Arial"/>
                <w:b/>
                <w:sz w:val="20"/>
                <w:szCs w:val="20"/>
              </w:rPr>
            </w:pPr>
          </w:p>
          <w:p w14:paraId="1E9B8CEA" w14:textId="77777777" w:rsidR="00AD43F8" w:rsidRPr="00BD79C4" w:rsidRDefault="00AD43F8">
            <w:pPr>
              <w:pStyle w:val="Akapitzlist"/>
              <w:spacing w:before="120" w:after="0" w:line="240" w:lineRule="auto"/>
              <w:ind w:left="0"/>
              <w:rPr>
                <w:rFonts w:cs="Arial"/>
                <w:b/>
                <w:sz w:val="20"/>
                <w:szCs w:val="20"/>
              </w:rPr>
            </w:pPr>
          </w:p>
        </w:tc>
      </w:tr>
      <w:tr w:rsidR="00BD79C4" w:rsidRPr="00BD79C4" w14:paraId="2E41A259" w14:textId="77777777" w:rsidTr="00440446">
        <w:trPr>
          <w:trHeight w:hRule="exact" w:val="861"/>
        </w:trPr>
        <w:tc>
          <w:tcPr>
            <w:tcW w:w="9781" w:type="dxa"/>
            <w:gridSpan w:val="4"/>
          </w:tcPr>
          <w:p w14:paraId="667B964B" w14:textId="77777777" w:rsidR="00AD43F8" w:rsidRPr="00BD79C4" w:rsidRDefault="00000000">
            <w:pPr>
              <w:pStyle w:val="Akapitzlist"/>
              <w:spacing w:before="120" w:after="0" w:line="240" w:lineRule="auto"/>
              <w:ind w:left="0"/>
              <w:rPr>
                <w:rFonts w:cs="Arial"/>
                <w:b/>
                <w:sz w:val="20"/>
                <w:szCs w:val="20"/>
              </w:rPr>
            </w:pPr>
            <w:r w:rsidRPr="00BD79C4">
              <w:rPr>
                <w:rFonts w:cs="Arial"/>
                <w:b/>
                <w:sz w:val="20"/>
                <w:szCs w:val="20"/>
              </w:rPr>
              <w:t>Deweloper w ramach spółki Fabryka Domów SPOMET ukończył osiemnaście inwestycji deweloperskich na terenie województwa Śląskiego i Małopolskiego. Kolejne inwestycje są w trakcie realizacji</w:t>
            </w:r>
          </w:p>
        </w:tc>
      </w:tr>
      <w:tr w:rsidR="00BD79C4" w:rsidRPr="00BD79C4" w14:paraId="7A7D0FCB" w14:textId="77777777" w:rsidTr="00440446">
        <w:trPr>
          <w:trHeight w:hRule="exact" w:val="921"/>
        </w:trPr>
        <w:tc>
          <w:tcPr>
            <w:tcW w:w="9781" w:type="dxa"/>
            <w:gridSpan w:val="4"/>
            <w:shd w:val="clear" w:color="auto" w:fill="BFBFBF" w:themeFill="background1" w:themeFillShade="BF"/>
          </w:tcPr>
          <w:p w14:paraId="26FE07C6" w14:textId="77777777" w:rsidR="00AD43F8" w:rsidRPr="00BD79C4" w:rsidRDefault="00000000">
            <w:pPr>
              <w:pStyle w:val="Akapitzlist"/>
              <w:spacing w:before="120" w:after="0" w:line="240" w:lineRule="auto"/>
              <w:ind w:left="0"/>
              <w:jc w:val="both"/>
              <w:rPr>
                <w:rFonts w:cs="Arial"/>
                <w:b/>
                <w:sz w:val="20"/>
                <w:szCs w:val="20"/>
              </w:rPr>
            </w:pPr>
            <w:r w:rsidRPr="00BD79C4">
              <w:rPr>
                <w:rFonts w:cs="Arial"/>
                <w:b/>
                <w:sz w:val="20"/>
                <w:szCs w:val="20"/>
              </w:rPr>
              <w:t>PRZYKŁAD UKOŃCZONEGO PRZEDSIĘWZIĘCIA DEWELOPERSKIEGO (należy wskazać (o ile istnieją) trzy ukończone przedsięwzięcia deweloperskie, w tym ostatnie)</w:t>
            </w:r>
          </w:p>
        </w:tc>
      </w:tr>
    </w:tbl>
    <w:p w14:paraId="2AD3C8EC" w14:textId="77777777" w:rsidR="00AD43F8" w:rsidRPr="00BD79C4" w:rsidRDefault="00AD43F8">
      <w:pPr>
        <w:spacing w:line="240" w:lineRule="auto"/>
        <w:rPr>
          <w:rFonts w:cs="Arial"/>
          <w:b/>
          <w:sz w:val="20"/>
          <w:szCs w:val="20"/>
        </w:rPr>
      </w:pPr>
    </w:p>
    <w:tbl>
      <w:tblPr>
        <w:tblStyle w:val="Tabela-Siatka"/>
        <w:tblW w:w="9781" w:type="dxa"/>
        <w:tblInd w:w="57" w:type="dxa"/>
        <w:tblLook w:val="04A0" w:firstRow="1" w:lastRow="0" w:firstColumn="1" w:lastColumn="0" w:noHBand="0" w:noVBand="1"/>
      </w:tblPr>
      <w:tblGrid>
        <w:gridCol w:w="2920"/>
        <w:gridCol w:w="256"/>
        <w:gridCol w:w="657"/>
        <w:gridCol w:w="2186"/>
        <w:gridCol w:w="331"/>
        <w:gridCol w:w="2524"/>
        <w:gridCol w:w="907"/>
      </w:tblGrid>
      <w:tr w:rsidR="00BD79C4" w:rsidRPr="00BD79C4" w14:paraId="7D69BC9F" w14:textId="77777777" w:rsidTr="00440446">
        <w:trPr>
          <w:trHeight w:val="371"/>
        </w:trPr>
        <w:tc>
          <w:tcPr>
            <w:tcW w:w="3176" w:type="dxa"/>
            <w:gridSpan w:val="2"/>
            <w:shd w:val="clear" w:color="auto" w:fill="D9D9D9" w:themeFill="background1" w:themeFillShade="D9"/>
          </w:tcPr>
          <w:p w14:paraId="19CFC80C" w14:textId="77777777" w:rsidR="00AD43F8" w:rsidRPr="00BD79C4" w:rsidRDefault="00000000">
            <w:pPr>
              <w:pStyle w:val="Akapitzlist"/>
              <w:spacing w:before="40" w:after="0" w:line="240" w:lineRule="auto"/>
              <w:ind w:left="0"/>
              <w:rPr>
                <w:rFonts w:cs="Arial"/>
                <w:sz w:val="20"/>
                <w:szCs w:val="20"/>
              </w:rPr>
            </w:pPr>
            <w:r w:rsidRPr="00BD79C4">
              <w:rPr>
                <w:rFonts w:cs="Arial"/>
                <w:sz w:val="20"/>
                <w:szCs w:val="20"/>
              </w:rPr>
              <w:t>Adres</w:t>
            </w:r>
          </w:p>
        </w:tc>
        <w:tc>
          <w:tcPr>
            <w:tcW w:w="6605" w:type="dxa"/>
            <w:gridSpan w:val="5"/>
          </w:tcPr>
          <w:p w14:paraId="533A44AF" w14:textId="77777777" w:rsidR="00AD43F8" w:rsidRPr="00BD79C4" w:rsidRDefault="00000000">
            <w:pPr>
              <w:pStyle w:val="Akapitzlist"/>
              <w:spacing w:before="30" w:after="0" w:line="240" w:lineRule="auto"/>
              <w:ind w:left="0"/>
              <w:rPr>
                <w:rFonts w:cs="Arial"/>
                <w:sz w:val="20"/>
                <w:szCs w:val="20"/>
              </w:rPr>
            </w:pPr>
            <w:r w:rsidRPr="00BD79C4">
              <w:rPr>
                <w:rFonts w:cs="Arial"/>
                <w:sz w:val="20"/>
                <w:szCs w:val="20"/>
              </w:rPr>
              <w:t>Tomice 34-100, ul. Dworska 34/1-11, nr działek 944/60 – 944/71</w:t>
            </w:r>
          </w:p>
        </w:tc>
      </w:tr>
      <w:tr w:rsidR="00BD79C4" w:rsidRPr="00BD79C4" w14:paraId="667F9336" w14:textId="77777777" w:rsidTr="00440446">
        <w:trPr>
          <w:trHeight w:val="451"/>
        </w:trPr>
        <w:tc>
          <w:tcPr>
            <w:tcW w:w="3176" w:type="dxa"/>
            <w:gridSpan w:val="2"/>
            <w:shd w:val="clear" w:color="auto" w:fill="D9D9D9" w:themeFill="background1" w:themeFillShade="D9"/>
          </w:tcPr>
          <w:p w14:paraId="5C7611CD" w14:textId="77777777" w:rsidR="00AD43F8" w:rsidRPr="00BD79C4" w:rsidRDefault="00000000">
            <w:pPr>
              <w:pStyle w:val="Akapitzlist"/>
              <w:spacing w:before="40" w:after="0" w:line="240" w:lineRule="auto"/>
              <w:ind w:left="0"/>
              <w:rPr>
                <w:rFonts w:cs="Arial"/>
                <w:sz w:val="20"/>
                <w:szCs w:val="20"/>
              </w:rPr>
            </w:pPr>
            <w:r w:rsidRPr="00BD79C4">
              <w:rPr>
                <w:rFonts w:cs="Arial"/>
                <w:sz w:val="20"/>
                <w:szCs w:val="20"/>
              </w:rPr>
              <w:t>Data rozpoczęcia</w:t>
            </w:r>
          </w:p>
        </w:tc>
        <w:tc>
          <w:tcPr>
            <w:tcW w:w="6605" w:type="dxa"/>
            <w:gridSpan w:val="5"/>
          </w:tcPr>
          <w:p w14:paraId="3895D0FF" w14:textId="77777777" w:rsidR="00AD43F8" w:rsidRPr="00BD79C4" w:rsidRDefault="00000000">
            <w:pPr>
              <w:pStyle w:val="Akapitzlist"/>
              <w:spacing w:before="30" w:after="0" w:line="240" w:lineRule="auto"/>
              <w:ind w:left="0"/>
              <w:rPr>
                <w:rFonts w:cs="Arial"/>
                <w:sz w:val="20"/>
                <w:szCs w:val="20"/>
              </w:rPr>
            </w:pPr>
            <w:r w:rsidRPr="00BD79C4">
              <w:rPr>
                <w:rFonts w:cs="Arial"/>
                <w:sz w:val="20"/>
                <w:szCs w:val="20"/>
              </w:rPr>
              <w:t>26.11.2018 r.</w:t>
            </w:r>
          </w:p>
        </w:tc>
      </w:tr>
      <w:tr w:rsidR="00BD79C4" w:rsidRPr="00BD79C4" w14:paraId="40D53A18" w14:textId="77777777">
        <w:trPr>
          <w:trHeight w:val="612"/>
        </w:trPr>
        <w:tc>
          <w:tcPr>
            <w:tcW w:w="3176" w:type="dxa"/>
            <w:gridSpan w:val="2"/>
            <w:shd w:val="clear" w:color="auto" w:fill="D9D9D9" w:themeFill="background1" w:themeFillShade="D9"/>
          </w:tcPr>
          <w:p w14:paraId="473F70E2" w14:textId="77777777" w:rsidR="00AD43F8" w:rsidRPr="00BD79C4" w:rsidRDefault="00000000">
            <w:pPr>
              <w:pStyle w:val="Akapitzlist"/>
              <w:spacing w:before="40" w:after="0" w:line="240" w:lineRule="auto"/>
              <w:ind w:left="0"/>
              <w:rPr>
                <w:rFonts w:cs="Arial"/>
                <w:sz w:val="20"/>
                <w:szCs w:val="20"/>
              </w:rPr>
            </w:pPr>
            <w:r w:rsidRPr="00BD79C4">
              <w:rPr>
                <w:rFonts w:cs="Arial"/>
                <w:sz w:val="20"/>
                <w:szCs w:val="20"/>
              </w:rPr>
              <w:t>Data wydania ostatecznego pozwolenia na użytkowanie</w:t>
            </w:r>
          </w:p>
        </w:tc>
        <w:tc>
          <w:tcPr>
            <w:tcW w:w="6605" w:type="dxa"/>
            <w:gridSpan w:val="5"/>
          </w:tcPr>
          <w:p w14:paraId="67DA6803" w14:textId="77777777" w:rsidR="00AD43F8" w:rsidRPr="00BD79C4" w:rsidRDefault="00000000">
            <w:pPr>
              <w:pStyle w:val="Akapitzlist"/>
              <w:spacing w:before="30" w:after="0" w:line="240" w:lineRule="auto"/>
              <w:ind w:left="0"/>
              <w:rPr>
                <w:rFonts w:cs="Arial"/>
                <w:sz w:val="20"/>
                <w:szCs w:val="20"/>
              </w:rPr>
            </w:pPr>
            <w:r w:rsidRPr="00BD79C4">
              <w:rPr>
                <w:rFonts w:cs="Arial"/>
                <w:sz w:val="20"/>
                <w:szCs w:val="20"/>
              </w:rPr>
              <w:t>17.05.2021 r.</w:t>
            </w:r>
          </w:p>
        </w:tc>
      </w:tr>
      <w:tr w:rsidR="00BD79C4" w:rsidRPr="00BD79C4" w14:paraId="7994DB82" w14:textId="77777777" w:rsidTr="00440446">
        <w:trPr>
          <w:trHeight w:val="559"/>
        </w:trPr>
        <w:tc>
          <w:tcPr>
            <w:tcW w:w="9781" w:type="dxa"/>
            <w:gridSpan w:val="7"/>
            <w:tcBorders>
              <w:bottom w:val="single" w:sz="4" w:space="0" w:color="auto"/>
            </w:tcBorders>
            <w:shd w:val="clear" w:color="auto" w:fill="BFBFBF" w:themeFill="background1" w:themeFillShade="BF"/>
          </w:tcPr>
          <w:p w14:paraId="4F227FFD" w14:textId="77777777" w:rsidR="00AD43F8" w:rsidRPr="00BD79C4" w:rsidRDefault="00000000">
            <w:pPr>
              <w:pStyle w:val="Akapitzlist"/>
              <w:spacing w:before="120" w:after="0" w:line="240" w:lineRule="auto"/>
              <w:ind w:left="0"/>
              <w:rPr>
                <w:rFonts w:cs="Arial"/>
                <w:b/>
                <w:sz w:val="20"/>
                <w:szCs w:val="20"/>
              </w:rPr>
            </w:pPr>
            <w:r w:rsidRPr="00BD79C4">
              <w:rPr>
                <w:rFonts w:cs="Arial"/>
                <w:b/>
                <w:sz w:val="20"/>
                <w:szCs w:val="20"/>
              </w:rPr>
              <w:t>PRZYKŁAD INNEGO UKOŃCZONEGO PRZEDSIĘWZIĘCIA DEWELOPERSKIEGO</w:t>
            </w:r>
          </w:p>
        </w:tc>
      </w:tr>
      <w:tr w:rsidR="00BD79C4" w:rsidRPr="00BD79C4" w14:paraId="4BE4BEEF" w14:textId="77777777" w:rsidTr="00440446">
        <w:trPr>
          <w:trHeight w:val="414"/>
        </w:trPr>
        <w:tc>
          <w:tcPr>
            <w:tcW w:w="3176" w:type="dxa"/>
            <w:gridSpan w:val="2"/>
            <w:tcBorders>
              <w:bottom w:val="single" w:sz="4" w:space="0" w:color="auto"/>
            </w:tcBorders>
            <w:shd w:val="clear" w:color="auto" w:fill="D9D9D9" w:themeFill="background1" w:themeFillShade="D9"/>
          </w:tcPr>
          <w:p w14:paraId="5EB5F8D2" w14:textId="77777777" w:rsidR="00AD43F8" w:rsidRPr="00BD79C4" w:rsidRDefault="00000000">
            <w:pPr>
              <w:pStyle w:val="Akapitzlist"/>
              <w:spacing w:before="40" w:after="0" w:line="240" w:lineRule="auto"/>
              <w:ind w:left="0"/>
              <w:rPr>
                <w:rFonts w:cs="Arial"/>
                <w:sz w:val="20"/>
                <w:szCs w:val="20"/>
              </w:rPr>
            </w:pPr>
            <w:r w:rsidRPr="00BD79C4">
              <w:rPr>
                <w:rFonts w:cs="Arial"/>
                <w:sz w:val="20"/>
                <w:szCs w:val="20"/>
              </w:rPr>
              <w:lastRenderedPageBreak/>
              <w:t>Adres</w:t>
            </w:r>
          </w:p>
        </w:tc>
        <w:tc>
          <w:tcPr>
            <w:tcW w:w="6605" w:type="dxa"/>
            <w:gridSpan w:val="5"/>
            <w:tcBorders>
              <w:bottom w:val="single" w:sz="4" w:space="0" w:color="auto"/>
            </w:tcBorders>
          </w:tcPr>
          <w:p w14:paraId="06176E07" w14:textId="77777777" w:rsidR="00AD43F8" w:rsidRPr="00BD79C4" w:rsidRDefault="00000000">
            <w:pPr>
              <w:pStyle w:val="Akapitzlist"/>
              <w:spacing w:before="30" w:after="0" w:line="240" w:lineRule="auto"/>
              <w:ind w:left="0"/>
              <w:rPr>
                <w:rFonts w:cs="Arial"/>
                <w:sz w:val="20"/>
                <w:szCs w:val="20"/>
              </w:rPr>
            </w:pPr>
            <w:r w:rsidRPr="00BD79C4">
              <w:rPr>
                <w:rFonts w:cs="Arial"/>
                <w:sz w:val="20"/>
                <w:szCs w:val="20"/>
              </w:rPr>
              <w:t>Łodygowice 43-365, ul. Osiedlowa 1 A-L, nr działek 6873/1 – 6873/ 12</w:t>
            </w:r>
          </w:p>
        </w:tc>
      </w:tr>
      <w:tr w:rsidR="00BD79C4" w:rsidRPr="00BD79C4" w14:paraId="4A70F9D4" w14:textId="77777777" w:rsidTr="00440446">
        <w:trPr>
          <w:trHeight w:val="419"/>
        </w:trPr>
        <w:tc>
          <w:tcPr>
            <w:tcW w:w="3176" w:type="dxa"/>
            <w:gridSpan w:val="2"/>
            <w:tcBorders>
              <w:bottom w:val="single" w:sz="4" w:space="0" w:color="auto"/>
            </w:tcBorders>
            <w:shd w:val="clear" w:color="auto" w:fill="D9D9D9" w:themeFill="background1" w:themeFillShade="D9"/>
          </w:tcPr>
          <w:p w14:paraId="217DC01A" w14:textId="77777777" w:rsidR="00AD43F8" w:rsidRPr="00BD79C4" w:rsidRDefault="00000000">
            <w:pPr>
              <w:pStyle w:val="Akapitzlist"/>
              <w:spacing w:before="40" w:after="0" w:line="240" w:lineRule="auto"/>
              <w:ind w:left="0"/>
              <w:rPr>
                <w:rFonts w:cs="Arial"/>
                <w:sz w:val="20"/>
                <w:szCs w:val="20"/>
              </w:rPr>
            </w:pPr>
            <w:r w:rsidRPr="00BD79C4">
              <w:rPr>
                <w:rFonts w:cs="Arial"/>
                <w:sz w:val="20"/>
                <w:szCs w:val="20"/>
              </w:rPr>
              <w:t>Data rozpoczęcia</w:t>
            </w:r>
          </w:p>
        </w:tc>
        <w:tc>
          <w:tcPr>
            <w:tcW w:w="6605" w:type="dxa"/>
            <w:gridSpan w:val="5"/>
            <w:tcBorders>
              <w:bottom w:val="single" w:sz="4" w:space="0" w:color="auto"/>
            </w:tcBorders>
          </w:tcPr>
          <w:p w14:paraId="703F60C9" w14:textId="77777777" w:rsidR="00AD43F8" w:rsidRPr="00BD79C4" w:rsidRDefault="00000000">
            <w:pPr>
              <w:pStyle w:val="Akapitzlist"/>
              <w:spacing w:before="30" w:after="0" w:line="240" w:lineRule="auto"/>
              <w:ind w:left="0"/>
              <w:rPr>
                <w:rFonts w:cs="Arial"/>
                <w:sz w:val="20"/>
                <w:szCs w:val="20"/>
              </w:rPr>
            </w:pPr>
            <w:r w:rsidRPr="00BD79C4">
              <w:rPr>
                <w:rFonts w:cs="Arial"/>
                <w:sz w:val="20"/>
                <w:szCs w:val="20"/>
              </w:rPr>
              <w:t>07.06.2019 r.</w:t>
            </w:r>
          </w:p>
        </w:tc>
      </w:tr>
      <w:tr w:rsidR="00BD79C4" w:rsidRPr="00BD79C4" w14:paraId="1A919B28" w14:textId="77777777">
        <w:trPr>
          <w:trHeight w:val="612"/>
        </w:trPr>
        <w:tc>
          <w:tcPr>
            <w:tcW w:w="3176" w:type="dxa"/>
            <w:gridSpan w:val="2"/>
            <w:tcBorders>
              <w:bottom w:val="single" w:sz="4" w:space="0" w:color="auto"/>
            </w:tcBorders>
            <w:shd w:val="clear" w:color="auto" w:fill="D9D9D9" w:themeFill="background1" w:themeFillShade="D9"/>
          </w:tcPr>
          <w:p w14:paraId="6B2D08C3" w14:textId="77777777" w:rsidR="00AD43F8" w:rsidRPr="00BD79C4" w:rsidRDefault="00000000">
            <w:pPr>
              <w:pStyle w:val="Akapitzlist"/>
              <w:spacing w:before="40" w:after="0" w:line="240" w:lineRule="auto"/>
              <w:ind w:left="0"/>
              <w:rPr>
                <w:rFonts w:cs="Arial"/>
                <w:sz w:val="20"/>
                <w:szCs w:val="20"/>
              </w:rPr>
            </w:pPr>
            <w:r w:rsidRPr="00BD79C4">
              <w:rPr>
                <w:rFonts w:cs="Arial"/>
                <w:sz w:val="20"/>
                <w:szCs w:val="20"/>
              </w:rPr>
              <w:t>Data wydania ostatecznego pozwolenia na użytkowanie</w:t>
            </w:r>
          </w:p>
        </w:tc>
        <w:tc>
          <w:tcPr>
            <w:tcW w:w="6605" w:type="dxa"/>
            <w:gridSpan w:val="5"/>
            <w:tcBorders>
              <w:bottom w:val="single" w:sz="4" w:space="0" w:color="auto"/>
            </w:tcBorders>
          </w:tcPr>
          <w:p w14:paraId="39B61D5F" w14:textId="77777777" w:rsidR="00AD43F8" w:rsidRPr="00BD79C4" w:rsidRDefault="00000000">
            <w:pPr>
              <w:pStyle w:val="Akapitzlist"/>
              <w:spacing w:before="30" w:after="0" w:line="240" w:lineRule="auto"/>
              <w:ind w:left="0"/>
              <w:rPr>
                <w:rFonts w:cs="Arial"/>
                <w:sz w:val="20"/>
                <w:szCs w:val="20"/>
              </w:rPr>
            </w:pPr>
            <w:r w:rsidRPr="00BD79C4">
              <w:rPr>
                <w:rFonts w:cs="Arial"/>
                <w:sz w:val="20"/>
                <w:szCs w:val="20"/>
              </w:rPr>
              <w:t>11.10.2021 r.</w:t>
            </w:r>
          </w:p>
        </w:tc>
      </w:tr>
      <w:tr w:rsidR="00BD79C4" w:rsidRPr="00BD79C4" w14:paraId="3B8EF2A9" w14:textId="77777777" w:rsidTr="00440446">
        <w:trPr>
          <w:trHeight w:val="501"/>
        </w:trPr>
        <w:tc>
          <w:tcPr>
            <w:tcW w:w="9781" w:type="dxa"/>
            <w:gridSpan w:val="7"/>
            <w:tcBorders>
              <w:bottom w:val="single" w:sz="4" w:space="0" w:color="auto"/>
            </w:tcBorders>
            <w:shd w:val="clear" w:color="auto" w:fill="BFBFBF" w:themeFill="background1" w:themeFillShade="BF"/>
          </w:tcPr>
          <w:p w14:paraId="5EFA189C" w14:textId="77777777" w:rsidR="00AD43F8" w:rsidRPr="00BD79C4" w:rsidRDefault="00000000">
            <w:pPr>
              <w:pStyle w:val="Akapitzlist"/>
              <w:spacing w:before="120" w:after="0" w:line="240" w:lineRule="auto"/>
              <w:ind w:left="0"/>
              <w:rPr>
                <w:rFonts w:cs="Arial"/>
                <w:b/>
                <w:sz w:val="20"/>
                <w:szCs w:val="20"/>
              </w:rPr>
            </w:pPr>
            <w:r w:rsidRPr="00BD79C4">
              <w:rPr>
                <w:rFonts w:cs="Arial"/>
                <w:b/>
                <w:sz w:val="20"/>
                <w:szCs w:val="20"/>
              </w:rPr>
              <w:t>OSTATNIE OSTATNIEGO UKOŃCZONEGO PRZEDSIĘWZIĘCIA DEWELOPERSKIEGO</w:t>
            </w:r>
          </w:p>
        </w:tc>
      </w:tr>
      <w:tr w:rsidR="00BD79C4" w:rsidRPr="00BD79C4" w14:paraId="39FFF0A4" w14:textId="77777777" w:rsidTr="00440446">
        <w:trPr>
          <w:trHeight w:val="314"/>
        </w:trPr>
        <w:tc>
          <w:tcPr>
            <w:tcW w:w="3176" w:type="dxa"/>
            <w:gridSpan w:val="2"/>
            <w:tcBorders>
              <w:bottom w:val="single" w:sz="4" w:space="0" w:color="auto"/>
            </w:tcBorders>
            <w:shd w:val="clear" w:color="auto" w:fill="D9D9D9" w:themeFill="background1" w:themeFillShade="D9"/>
          </w:tcPr>
          <w:p w14:paraId="76001D00" w14:textId="77777777" w:rsidR="00AD43F8" w:rsidRPr="00BD79C4" w:rsidRDefault="00000000">
            <w:pPr>
              <w:pStyle w:val="Akapitzlist"/>
              <w:spacing w:before="40" w:after="0" w:line="240" w:lineRule="auto"/>
              <w:ind w:left="0"/>
              <w:rPr>
                <w:rFonts w:cs="Arial"/>
                <w:sz w:val="20"/>
                <w:szCs w:val="20"/>
              </w:rPr>
            </w:pPr>
            <w:r w:rsidRPr="00BD79C4">
              <w:rPr>
                <w:rFonts w:cs="Arial"/>
                <w:sz w:val="20"/>
                <w:szCs w:val="20"/>
              </w:rPr>
              <w:t>Adres</w:t>
            </w:r>
          </w:p>
        </w:tc>
        <w:tc>
          <w:tcPr>
            <w:tcW w:w="6605" w:type="dxa"/>
            <w:gridSpan w:val="5"/>
            <w:tcBorders>
              <w:bottom w:val="single" w:sz="4" w:space="0" w:color="auto"/>
            </w:tcBorders>
          </w:tcPr>
          <w:p w14:paraId="7D658082" w14:textId="77777777" w:rsidR="00AD43F8" w:rsidRPr="00BD79C4" w:rsidRDefault="00000000">
            <w:pPr>
              <w:pStyle w:val="Akapitzlist"/>
              <w:spacing w:before="30" w:after="0" w:line="240" w:lineRule="auto"/>
              <w:ind w:left="0"/>
              <w:rPr>
                <w:rFonts w:cs="Arial"/>
                <w:sz w:val="20"/>
                <w:szCs w:val="20"/>
              </w:rPr>
            </w:pPr>
            <w:r w:rsidRPr="00BD79C4">
              <w:rPr>
                <w:rFonts w:cs="Arial"/>
                <w:sz w:val="20"/>
                <w:szCs w:val="20"/>
              </w:rPr>
              <w:t>Bestwina 43-512, ul. Podleska 53 A1- F2 nr działek 1991/14</w:t>
            </w:r>
          </w:p>
        </w:tc>
      </w:tr>
      <w:tr w:rsidR="00BD79C4" w:rsidRPr="00BD79C4" w14:paraId="6B9E6170" w14:textId="77777777" w:rsidTr="00440446">
        <w:trPr>
          <w:trHeight w:val="417"/>
        </w:trPr>
        <w:tc>
          <w:tcPr>
            <w:tcW w:w="3176" w:type="dxa"/>
            <w:gridSpan w:val="2"/>
            <w:tcBorders>
              <w:bottom w:val="single" w:sz="4" w:space="0" w:color="auto"/>
            </w:tcBorders>
            <w:shd w:val="clear" w:color="auto" w:fill="D9D9D9" w:themeFill="background1" w:themeFillShade="D9"/>
          </w:tcPr>
          <w:p w14:paraId="2ABF8F55" w14:textId="77777777" w:rsidR="00AD43F8" w:rsidRPr="00BD79C4" w:rsidRDefault="00000000">
            <w:pPr>
              <w:pStyle w:val="Akapitzlist"/>
              <w:spacing w:before="40" w:after="0" w:line="240" w:lineRule="auto"/>
              <w:ind w:left="0"/>
              <w:rPr>
                <w:rFonts w:cs="Arial"/>
                <w:sz w:val="20"/>
                <w:szCs w:val="20"/>
              </w:rPr>
            </w:pPr>
            <w:r w:rsidRPr="00BD79C4">
              <w:rPr>
                <w:rFonts w:cs="Arial"/>
                <w:sz w:val="20"/>
                <w:szCs w:val="20"/>
              </w:rPr>
              <w:t>Data rozpoczęcia</w:t>
            </w:r>
          </w:p>
        </w:tc>
        <w:tc>
          <w:tcPr>
            <w:tcW w:w="6605" w:type="dxa"/>
            <w:gridSpan w:val="5"/>
            <w:tcBorders>
              <w:bottom w:val="single" w:sz="4" w:space="0" w:color="auto"/>
            </w:tcBorders>
          </w:tcPr>
          <w:p w14:paraId="11EA7BDC" w14:textId="77777777" w:rsidR="00AD43F8" w:rsidRPr="00BD79C4" w:rsidRDefault="00000000">
            <w:pPr>
              <w:pStyle w:val="Akapitzlist"/>
              <w:spacing w:before="30" w:after="0" w:line="240" w:lineRule="auto"/>
              <w:ind w:left="0"/>
              <w:rPr>
                <w:rFonts w:cs="Arial"/>
                <w:sz w:val="20"/>
                <w:szCs w:val="20"/>
              </w:rPr>
            </w:pPr>
            <w:r w:rsidRPr="00BD79C4">
              <w:rPr>
                <w:rFonts w:cs="Arial"/>
                <w:sz w:val="20"/>
                <w:szCs w:val="20"/>
              </w:rPr>
              <w:t>10.11.2020 r.</w:t>
            </w:r>
          </w:p>
        </w:tc>
      </w:tr>
      <w:tr w:rsidR="00BD79C4" w:rsidRPr="00BD79C4" w14:paraId="26FC22A7" w14:textId="77777777">
        <w:trPr>
          <w:trHeight w:val="612"/>
        </w:trPr>
        <w:tc>
          <w:tcPr>
            <w:tcW w:w="3176" w:type="dxa"/>
            <w:gridSpan w:val="2"/>
            <w:tcBorders>
              <w:bottom w:val="single" w:sz="4" w:space="0" w:color="auto"/>
            </w:tcBorders>
            <w:shd w:val="clear" w:color="auto" w:fill="D9D9D9" w:themeFill="background1" w:themeFillShade="D9"/>
          </w:tcPr>
          <w:p w14:paraId="360D0092" w14:textId="77777777" w:rsidR="00AD43F8" w:rsidRPr="00BD79C4" w:rsidRDefault="00000000">
            <w:pPr>
              <w:pStyle w:val="Akapitzlist"/>
              <w:spacing w:before="40" w:after="0" w:line="240" w:lineRule="auto"/>
              <w:ind w:left="0"/>
              <w:rPr>
                <w:rFonts w:cs="Arial"/>
                <w:sz w:val="20"/>
                <w:szCs w:val="20"/>
              </w:rPr>
            </w:pPr>
            <w:r w:rsidRPr="00BD79C4">
              <w:rPr>
                <w:rFonts w:cs="Arial"/>
                <w:sz w:val="20"/>
                <w:szCs w:val="20"/>
              </w:rPr>
              <w:t>Data wydania ostatecznego pozwolenia na użytkowanie</w:t>
            </w:r>
          </w:p>
        </w:tc>
        <w:tc>
          <w:tcPr>
            <w:tcW w:w="6605" w:type="dxa"/>
            <w:gridSpan w:val="5"/>
            <w:tcBorders>
              <w:bottom w:val="single" w:sz="4" w:space="0" w:color="auto"/>
            </w:tcBorders>
          </w:tcPr>
          <w:p w14:paraId="2BDBB6AF" w14:textId="77777777" w:rsidR="00AD43F8" w:rsidRPr="00BD79C4" w:rsidRDefault="00000000">
            <w:pPr>
              <w:pStyle w:val="Akapitzlist"/>
              <w:spacing w:before="30" w:after="0" w:line="240" w:lineRule="auto"/>
              <w:ind w:left="0"/>
              <w:rPr>
                <w:rFonts w:cs="Arial"/>
                <w:sz w:val="20"/>
                <w:szCs w:val="20"/>
              </w:rPr>
            </w:pPr>
            <w:r w:rsidRPr="00BD79C4">
              <w:rPr>
                <w:rFonts w:cs="Arial"/>
                <w:sz w:val="20"/>
                <w:szCs w:val="20"/>
              </w:rPr>
              <w:t>13.04.2022 r.</w:t>
            </w:r>
          </w:p>
        </w:tc>
      </w:tr>
      <w:tr w:rsidR="00BD79C4" w:rsidRPr="00BD79C4" w14:paraId="36391EA4" w14:textId="77777777">
        <w:trPr>
          <w:trHeight w:val="612"/>
        </w:trPr>
        <w:tc>
          <w:tcPr>
            <w:tcW w:w="9781" w:type="dxa"/>
            <w:gridSpan w:val="7"/>
            <w:tcBorders>
              <w:left w:val="nil"/>
              <w:bottom w:val="single" w:sz="4" w:space="0" w:color="auto"/>
              <w:right w:val="nil"/>
            </w:tcBorders>
          </w:tcPr>
          <w:p w14:paraId="31CA3AA8" w14:textId="77777777" w:rsidR="00AD43F8" w:rsidRPr="00BD79C4" w:rsidRDefault="00AD43F8">
            <w:pPr>
              <w:pStyle w:val="Akapitzlist"/>
              <w:spacing w:after="0" w:line="240" w:lineRule="auto"/>
              <w:ind w:left="0"/>
              <w:rPr>
                <w:rFonts w:cs="Arial"/>
                <w:sz w:val="20"/>
                <w:szCs w:val="20"/>
              </w:rPr>
            </w:pPr>
          </w:p>
        </w:tc>
      </w:tr>
      <w:tr w:rsidR="00BD79C4" w:rsidRPr="00BD79C4" w14:paraId="727A0F91" w14:textId="77777777">
        <w:trPr>
          <w:trHeight w:val="612"/>
        </w:trPr>
        <w:tc>
          <w:tcPr>
            <w:tcW w:w="3176" w:type="dxa"/>
            <w:gridSpan w:val="2"/>
            <w:tcBorders>
              <w:bottom w:val="single" w:sz="4" w:space="0" w:color="auto"/>
            </w:tcBorders>
            <w:shd w:val="clear" w:color="auto" w:fill="D9D9D9" w:themeFill="background1" w:themeFillShade="D9"/>
          </w:tcPr>
          <w:p w14:paraId="48594ABA" w14:textId="77777777" w:rsidR="00AD43F8" w:rsidRPr="00BD79C4" w:rsidRDefault="00000000">
            <w:pPr>
              <w:pStyle w:val="Akapitzlist"/>
              <w:spacing w:before="40" w:after="0" w:line="240" w:lineRule="auto"/>
              <w:ind w:left="0"/>
              <w:rPr>
                <w:rFonts w:cs="Arial"/>
                <w:sz w:val="20"/>
                <w:szCs w:val="20"/>
              </w:rPr>
            </w:pPr>
            <w:r w:rsidRPr="00BD79C4">
              <w:rPr>
                <w:rFonts w:cs="Arial"/>
                <w:sz w:val="20"/>
                <w:szCs w:val="20"/>
              </w:rPr>
              <w:t>Czy przeciwko deweloperowi prowadzono (lub prowadzi  się) postępowania egzekucyjne na kwotę powyżej 100 000 zł</w:t>
            </w:r>
          </w:p>
        </w:tc>
        <w:tc>
          <w:tcPr>
            <w:tcW w:w="6605" w:type="dxa"/>
            <w:gridSpan w:val="5"/>
            <w:tcBorders>
              <w:bottom w:val="single" w:sz="4" w:space="0" w:color="auto"/>
            </w:tcBorders>
          </w:tcPr>
          <w:p w14:paraId="2494908C" w14:textId="77777777" w:rsidR="00AD43F8" w:rsidRPr="00BD79C4" w:rsidRDefault="00000000">
            <w:pPr>
              <w:pStyle w:val="Akapitzlist"/>
              <w:spacing w:before="30" w:after="0" w:line="240" w:lineRule="auto"/>
              <w:ind w:left="0"/>
              <w:jc w:val="both"/>
              <w:rPr>
                <w:rFonts w:cs="Arial"/>
                <w:sz w:val="20"/>
                <w:szCs w:val="20"/>
              </w:rPr>
            </w:pPr>
            <w:r w:rsidRPr="00BD79C4">
              <w:rPr>
                <w:rFonts w:cs="Arial"/>
                <w:sz w:val="20"/>
                <w:szCs w:val="20"/>
              </w:rPr>
              <w:t>Nie jest i nie była prowadzona egzekucja przeciwko Spółce na kwotę powyżej 100 000 zł</w:t>
            </w:r>
          </w:p>
        </w:tc>
      </w:tr>
      <w:tr w:rsidR="00BD79C4" w:rsidRPr="00BD79C4" w14:paraId="4BCFDF40" w14:textId="77777777">
        <w:trPr>
          <w:trHeight w:val="612"/>
        </w:trPr>
        <w:tc>
          <w:tcPr>
            <w:tcW w:w="9781" w:type="dxa"/>
            <w:gridSpan w:val="7"/>
            <w:tcBorders>
              <w:top w:val="nil"/>
              <w:left w:val="nil"/>
              <w:right w:val="nil"/>
            </w:tcBorders>
            <w:vAlign w:val="center"/>
          </w:tcPr>
          <w:p w14:paraId="4FB41D2B" w14:textId="77777777" w:rsidR="00AD43F8" w:rsidRPr="00BD79C4" w:rsidRDefault="00000000">
            <w:pPr>
              <w:spacing w:after="0" w:line="240" w:lineRule="auto"/>
              <w:rPr>
                <w:rFonts w:cs="Arial"/>
                <w:bCs/>
                <w:sz w:val="20"/>
                <w:szCs w:val="20"/>
              </w:rPr>
            </w:pPr>
            <w:r w:rsidRPr="00BD79C4">
              <w:rPr>
                <w:rFonts w:cs="Arial"/>
                <w:bCs/>
                <w:sz w:val="20"/>
                <w:szCs w:val="20"/>
              </w:rPr>
              <w:t>III. INFORMACJE DOTYCZĄCE NIERUCHOMOŚCI I PRZEDSIĘWZIĘCIA DEWELOPERSKIEGO</w:t>
            </w:r>
          </w:p>
        </w:tc>
      </w:tr>
      <w:tr w:rsidR="00BD79C4" w:rsidRPr="00BD79C4" w14:paraId="25830BC8" w14:textId="77777777">
        <w:trPr>
          <w:trHeight w:val="799"/>
        </w:trPr>
        <w:tc>
          <w:tcPr>
            <w:tcW w:w="9781" w:type="dxa"/>
            <w:gridSpan w:val="7"/>
            <w:shd w:val="clear" w:color="auto" w:fill="BFBFBF" w:themeFill="background1" w:themeFillShade="BF"/>
          </w:tcPr>
          <w:p w14:paraId="00B471EC" w14:textId="77777777" w:rsidR="00AD43F8" w:rsidRPr="00BD79C4" w:rsidRDefault="00000000">
            <w:pPr>
              <w:pStyle w:val="Akapitzlist"/>
              <w:spacing w:before="120" w:after="0" w:line="240" w:lineRule="auto"/>
              <w:ind w:left="0"/>
              <w:rPr>
                <w:rFonts w:cs="Arial"/>
                <w:b/>
                <w:sz w:val="20"/>
                <w:szCs w:val="20"/>
              </w:rPr>
            </w:pPr>
            <w:r w:rsidRPr="00BD79C4">
              <w:rPr>
                <w:rFonts w:cs="Arial"/>
                <w:b/>
                <w:sz w:val="20"/>
                <w:szCs w:val="20"/>
              </w:rPr>
              <w:t>INFORMACJE DOTYCZĄCE GRUNTU</w:t>
            </w:r>
          </w:p>
        </w:tc>
      </w:tr>
      <w:tr w:rsidR="00BD79C4" w:rsidRPr="00BD79C4" w14:paraId="149823B9" w14:textId="77777777">
        <w:trPr>
          <w:trHeight w:val="612"/>
        </w:trPr>
        <w:tc>
          <w:tcPr>
            <w:tcW w:w="2920" w:type="dxa"/>
            <w:shd w:val="clear" w:color="auto" w:fill="D9D9D9" w:themeFill="background1" w:themeFillShade="D9"/>
          </w:tcPr>
          <w:p w14:paraId="2F67AF1B" w14:textId="77777777" w:rsidR="00AD43F8" w:rsidRPr="00BD79C4" w:rsidRDefault="00000000">
            <w:pPr>
              <w:pStyle w:val="Akapitzlist"/>
              <w:spacing w:before="40" w:after="0" w:line="240" w:lineRule="auto"/>
              <w:ind w:left="0"/>
              <w:rPr>
                <w:rFonts w:cs="Arial"/>
                <w:sz w:val="20"/>
                <w:szCs w:val="20"/>
              </w:rPr>
            </w:pPr>
            <w:r w:rsidRPr="00BD79C4">
              <w:rPr>
                <w:rFonts w:cs="Arial"/>
                <w:sz w:val="20"/>
                <w:szCs w:val="20"/>
              </w:rPr>
              <w:t>Adres i nr działki ewidencyjnej i numer obrębu ewidencyjnego</w:t>
            </w:r>
            <w:r w:rsidRPr="00BD79C4">
              <w:rPr>
                <w:rStyle w:val="Odwoanieprzypisudolnego"/>
                <w:rFonts w:cs="Arial"/>
                <w:sz w:val="20"/>
                <w:szCs w:val="20"/>
              </w:rPr>
              <w:footnoteReference w:id="1"/>
            </w:r>
          </w:p>
        </w:tc>
        <w:tc>
          <w:tcPr>
            <w:tcW w:w="6861" w:type="dxa"/>
            <w:gridSpan w:val="6"/>
          </w:tcPr>
          <w:p w14:paraId="37B56DAC" w14:textId="39C5970D" w:rsidR="00AD43F8" w:rsidRPr="00BD79C4" w:rsidRDefault="00000000">
            <w:pPr>
              <w:pStyle w:val="Akapitzlist"/>
              <w:spacing w:before="30" w:after="0" w:line="240" w:lineRule="auto"/>
              <w:ind w:left="0"/>
              <w:rPr>
                <w:rFonts w:cs="Arial"/>
                <w:sz w:val="20"/>
                <w:szCs w:val="20"/>
              </w:rPr>
            </w:pPr>
            <w:r w:rsidRPr="00BD79C4">
              <w:rPr>
                <w:rFonts w:cs="Arial"/>
                <w:sz w:val="20"/>
                <w:szCs w:val="20"/>
              </w:rPr>
              <w:t xml:space="preserve">Działka nr </w:t>
            </w:r>
            <w:r w:rsidRPr="00BD79C4">
              <w:rPr>
                <w:rFonts w:cs="Arial"/>
                <w:b/>
                <w:bCs/>
                <w:sz w:val="20"/>
                <w:szCs w:val="20"/>
              </w:rPr>
              <w:t>6233/</w:t>
            </w:r>
            <w:r w:rsidR="00440446">
              <w:rPr>
                <w:rFonts w:cs="Arial"/>
                <w:b/>
                <w:bCs/>
                <w:sz w:val="20"/>
                <w:szCs w:val="20"/>
              </w:rPr>
              <w:t>67</w:t>
            </w:r>
            <w:r w:rsidRPr="00BD79C4">
              <w:rPr>
                <w:rFonts w:cs="Arial"/>
                <w:b/>
                <w:bCs/>
                <w:sz w:val="20"/>
                <w:szCs w:val="20"/>
              </w:rPr>
              <w:t>, 6233/36 i 6233/4</w:t>
            </w:r>
            <w:r w:rsidRPr="00BD79C4">
              <w:rPr>
                <w:rFonts w:cs="Arial"/>
                <w:sz w:val="20"/>
                <w:szCs w:val="20"/>
              </w:rPr>
              <w:t xml:space="preserve"> (działka drogowa) położona w Łodygowicach, ul. </w:t>
            </w:r>
            <w:r w:rsidR="000E512A" w:rsidRPr="00BD79C4">
              <w:rPr>
                <w:rFonts w:cs="Arial"/>
                <w:sz w:val="20"/>
                <w:szCs w:val="20"/>
              </w:rPr>
              <w:t xml:space="preserve">Zielna </w:t>
            </w:r>
          </w:p>
          <w:p w14:paraId="489EF134" w14:textId="638683F1" w:rsidR="00AD43F8" w:rsidRPr="00BD79C4" w:rsidRDefault="00000000">
            <w:pPr>
              <w:pStyle w:val="Akapitzlist"/>
              <w:spacing w:before="30" w:after="0" w:line="240" w:lineRule="auto"/>
              <w:ind w:left="0"/>
              <w:rPr>
                <w:rFonts w:cs="Arial"/>
                <w:sz w:val="20"/>
                <w:szCs w:val="20"/>
              </w:rPr>
            </w:pPr>
            <w:r w:rsidRPr="00BD79C4">
              <w:rPr>
                <w:rFonts w:cs="Arial"/>
                <w:sz w:val="20"/>
                <w:szCs w:val="20"/>
              </w:rPr>
              <w:t xml:space="preserve">Obręb </w:t>
            </w:r>
            <w:r w:rsidRPr="00BD79C4">
              <w:rPr>
                <w:rFonts w:cs="Arial"/>
                <w:b/>
                <w:bCs/>
                <w:sz w:val="20"/>
                <w:szCs w:val="20"/>
              </w:rPr>
              <w:t xml:space="preserve">0002 Łodygowice. </w:t>
            </w:r>
          </w:p>
        </w:tc>
      </w:tr>
      <w:tr w:rsidR="00BD79C4" w:rsidRPr="00BD79C4" w14:paraId="71F9D35C" w14:textId="77777777">
        <w:trPr>
          <w:trHeight w:val="374"/>
        </w:trPr>
        <w:tc>
          <w:tcPr>
            <w:tcW w:w="2920" w:type="dxa"/>
            <w:shd w:val="clear" w:color="auto" w:fill="D9D9D9" w:themeFill="background1" w:themeFillShade="D9"/>
          </w:tcPr>
          <w:p w14:paraId="2B9F1CCA" w14:textId="77777777" w:rsidR="00AD43F8" w:rsidRPr="00BD79C4" w:rsidRDefault="00000000">
            <w:pPr>
              <w:pStyle w:val="Akapitzlist"/>
              <w:spacing w:before="40" w:after="0" w:line="240" w:lineRule="auto"/>
              <w:ind w:left="0"/>
              <w:rPr>
                <w:rFonts w:cs="Arial"/>
                <w:sz w:val="20"/>
                <w:szCs w:val="20"/>
              </w:rPr>
            </w:pPr>
            <w:r w:rsidRPr="00BD79C4">
              <w:rPr>
                <w:rFonts w:cs="Arial"/>
                <w:sz w:val="20"/>
                <w:szCs w:val="20"/>
              </w:rPr>
              <w:t>Nr księgi wieczystej</w:t>
            </w:r>
          </w:p>
        </w:tc>
        <w:tc>
          <w:tcPr>
            <w:tcW w:w="6861" w:type="dxa"/>
            <w:gridSpan w:val="6"/>
          </w:tcPr>
          <w:p w14:paraId="12204E26" w14:textId="0888840E" w:rsidR="00AD43F8" w:rsidRPr="00BD79C4" w:rsidRDefault="00000000">
            <w:pPr>
              <w:pStyle w:val="Akapitzlist"/>
              <w:spacing w:before="30" w:after="0" w:line="240" w:lineRule="auto"/>
              <w:ind w:left="0"/>
              <w:rPr>
                <w:rFonts w:cs="Arial"/>
                <w:sz w:val="20"/>
                <w:szCs w:val="20"/>
                <w:lang w:bidi="pl-PL"/>
              </w:rPr>
            </w:pPr>
            <w:r w:rsidRPr="00BD79C4">
              <w:rPr>
                <w:rFonts w:cs="Arial"/>
                <w:sz w:val="20"/>
                <w:szCs w:val="20"/>
              </w:rPr>
              <w:t xml:space="preserve">dla ww. działki Sąd Rejonowy w Żywcu, V Wydział Ksiąg Wieczystych prowadzi księgi wieczyste nr </w:t>
            </w:r>
            <w:r w:rsidRPr="00BD79C4">
              <w:rPr>
                <w:rFonts w:cs="Arial"/>
                <w:b/>
                <w:bCs/>
                <w:sz w:val="20"/>
                <w:szCs w:val="20"/>
                <w:lang w:bidi="pl-PL"/>
              </w:rPr>
              <w:t>BB1Z/00168383/1</w:t>
            </w:r>
            <w:r w:rsidR="00741E59" w:rsidRPr="00BD79C4">
              <w:rPr>
                <w:rFonts w:cs="Arial"/>
                <w:b/>
                <w:bCs/>
                <w:sz w:val="20"/>
                <w:szCs w:val="20"/>
                <w:lang w:bidi="pl-PL"/>
              </w:rPr>
              <w:t xml:space="preserve"> </w:t>
            </w:r>
            <w:r w:rsidR="00741E59" w:rsidRPr="00BD79C4">
              <w:rPr>
                <w:rFonts w:cs="Arial"/>
                <w:sz w:val="20"/>
                <w:szCs w:val="20"/>
                <w:lang w:bidi="pl-PL"/>
              </w:rPr>
              <w:t>dla działki 6233/</w:t>
            </w:r>
            <w:r w:rsidR="00440446">
              <w:rPr>
                <w:rFonts w:cs="Arial"/>
                <w:sz w:val="20"/>
                <w:szCs w:val="20"/>
                <w:lang w:bidi="pl-PL"/>
              </w:rPr>
              <w:t>6</w:t>
            </w:r>
            <w:r w:rsidR="00741E59" w:rsidRPr="00BD79C4">
              <w:rPr>
                <w:rFonts w:cs="Arial"/>
                <w:sz w:val="20"/>
                <w:szCs w:val="20"/>
                <w:lang w:bidi="pl-PL"/>
              </w:rPr>
              <w:t xml:space="preserve"> oraz </w:t>
            </w:r>
            <w:r w:rsidR="00741E59" w:rsidRPr="00BD79C4">
              <w:rPr>
                <w:rFonts w:cs="Arial"/>
                <w:b/>
                <w:bCs/>
                <w:sz w:val="20"/>
                <w:szCs w:val="20"/>
                <w:lang w:bidi="pl-PL"/>
              </w:rPr>
              <w:t>BB1Z/00177723/3</w:t>
            </w:r>
            <w:r w:rsidR="00741E59" w:rsidRPr="00BD79C4">
              <w:rPr>
                <w:rFonts w:cs="Arial"/>
                <w:sz w:val="20"/>
                <w:szCs w:val="20"/>
                <w:lang w:bidi="pl-PL"/>
              </w:rPr>
              <w:t xml:space="preserve"> dla działek 6233/36 i 6233/4</w:t>
            </w:r>
          </w:p>
          <w:p w14:paraId="7C62B655" w14:textId="77777777" w:rsidR="00AD43F8" w:rsidRPr="00BD79C4" w:rsidRDefault="00AD43F8">
            <w:pPr>
              <w:pStyle w:val="Akapitzlist"/>
              <w:spacing w:before="30" w:after="0" w:line="240" w:lineRule="auto"/>
              <w:ind w:left="0"/>
              <w:rPr>
                <w:rFonts w:cs="Arial"/>
                <w:sz w:val="20"/>
                <w:szCs w:val="20"/>
              </w:rPr>
            </w:pPr>
          </w:p>
        </w:tc>
      </w:tr>
      <w:tr w:rsidR="00BD79C4" w:rsidRPr="00BD79C4" w14:paraId="7DD485FE" w14:textId="77777777">
        <w:trPr>
          <w:trHeight w:val="1027"/>
        </w:trPr>
        <w:tc>
          <w:tcPr>
            <w:tcW w:w="2920" w:type="dxa"/>
            <w:shd w:val="clear" w:color="auto" w:fill="D9D9D9" w:themeFill="background1" w:themeFillShade="D9"/>
          </w:tcPr>
          <w:p w14:paraId="182E73A0" w14:textId="77777777" w:rsidR="00962D9E" w:rsidRPr="00BD79C4" w:rsidRDefault="00962D9E" w:rsidP="00962D9E">
            <w:pPr>
              <w:pStyle w:val="Akapitzlist"/>
              <w:spacing w:before="40" w:after="0" w:line="240" w:lineRule="auto"/>
              <w:ind w:left="0"/>
              <w:jc w:val="both"/>
              <w:rPr>
                <w:rFonts w:cs="Arial"/>
                <w:sz w:val="20"/>
                <w:szCs w:val="20"/>
              </w:rPr>
            </w:pPr>
            <w:r w:rsidRPr="00BD79C4">
              <w:rPr>
                <w:rFonts w:cs="Arial"/>
                <w:sz w:val="20"/>
                <w:szCs w:val="20"/>
              </w:rPr>
              <w:t>Istniejące obciążenia hipoteczne nieruchomości lub wnioski o wpis w dziale czwartym księgi wieczystej</w:t>
            </w:r>
          </w:p>
        </w:tc>
        <w:tc>
          <w:tcPr>
            <w:tcW w:w="6861" w:type="dxa"/>
            <w:gridSpan w:val="6"/>
          </w:tcPr>
          <w:p w14:paraId="51A264BB" w14:textId="1BDE156F" w:rsidR="00962D9E" w:rsidRPr="00BD79C4" w:rsidRDefault="00962D9E" w:rsidP="00962D9E">
            <w:pPr>
              <w:pStyle w:val="Akapitzlist"/>
              <w:spacing w:before="30" w:after="0" w:line="240" w:lineRule="auto"/>
              <w:ind w:left="0"/>
              <w:jc w:val="both"/>
              <w:rPr>
                <w:bCs/>
                <w:sz w:val="20"/>
                <w:szCs w:val="20"/>
              </w:rPr>
            </w:pPr>
            <w:r w:rsidRPr="00BD79C4">
              <w:rPr>
                <w:bCs/>
                <w:sz w:val="20"/>
                <w:szCs w:val="20"/>
              </w:rPr>
              <w:t>Działka 6233/</w:t>
            </w:r>
            <w:r w:rsidR="00440446">
              <w:rPr>
                <w:bCs/>
                <w:sz w:val="20"/>
                <w:szCs w:val="20"/>
              </w:rPr>
              <w:t>6</w:t>
            </w:r>
            <w:r w:rsidRPr="00BD79C4">
              <w:rPr>
                <w:bCs/>
                <w:sz w:val="20"/>
                <w:szCs w:val="20"/>
              </w:rPr>
              <w:t xml:space="preserve"> jest wolna od obciążeń hipotecznych. </w:t>
            </w:r>
          </w:p>
          <w:p w14:paraId="491676B3" w14:textId="48D5EAED" w:rsidR="00962D9E" w:rsidRPr="00BD79C4" w:rsidRDefault="00962D9E" w:rsidP="00962D9E">
            <w:pPr>
              <w:pStyle w:val="Akapitzlist"/>
              <w:spacing w:before="30" w:after="0" w:line="240" w:lineRule="auto"/>
              <w:ind w:left="0"/>
              <w:jc w:val="both"/>
              <w:rPr>
                <w:bCs/>
                <w:sz w:val="20"/>
                <w:szCs w:val="20"/>
              </w:rPr>
            </w:pPr>
            <w:r w:rsidRPr="00BD79C4">
              <w:rPr>
                <w:bCs/>
                <w:sz w:val="20"/>
                <w:szCs w:val="20"/>
              </w:rPr>
              <w:t>Obciążenia hipoteczne na działkach nr 6233/36 i 6233/4 (działki drogowa</w:t>
            </w:r>
            <w:r w:rsidRPr="00BD79C4">
              <w:rPr>
                <w:b/>
                <w:sz w:val="20"/>
                <w:szCs w:val="20"/>
              </w:rPr>
              <w:t>) nie dotyczą</w:t>
            </w:r>
            <w:r w:rsidRPr="00BD79C4">
              <w:rPr>
                <w:bCs/>
                <w:sz w:val="20"/>
                <w:szCs w:val="20"/>
              </w:rPr>
              <w:t xml:space="preserve"> udziałów Spółki.</w:t>
            </w:r>
          </w:p>
        </w:tc>
      </w:tr>
      <w:tr w:rsidR="00BD79C4" w:rsidRPr="00BD79C4" w14:paraId="5E6DE4A0" w14:textId="77777777">
        <w:trPr>
          <w:trHeight w:val="612"/>
        </w:trPr>
        <w:tc>
          <w:tcPr>
            <w:tcW w:w="2920" w:type="dxa"/>
            <w:shd w:val="clear" w:color="auto" w:fill="D9D9D9" w:themeFill="background1" w:themeFillShade="D9"/>
          </w:tcPr>
          <w:p w14:paraId="5D2560BA" w14:textId="77777777" w:rsidR="00962D9E" w:rsidRPr="00BD79C4" w:rsidRDefault="00962D9E" w:rsidP="00962D9E">
            <w:pPr>
              <w:pStyle w:val="Akapitzlist"/>
              <w:spacing w:before="40" w:after="0" w:line="240" w:lineRule="auto"/>
              <w:ind w:left="0"/>
              <w:jc w:val="both"/>
              <w:rPr>
                <w:rFonts w:cs="Arial"/>
                <w:sz w:val="20"/>
                <w:szCs w:val="20"/>
              </w:rPr>
            </w:pPr>
            <w:r w:rsidRPr="00BD79C4">
              <w:rPr>
                <w:rFonts w:cs="Arial"/>
                <w:sz w:val="20"/>
                <w:szCs w:val="20"/>
              </w:rPr>
              <w:t>W przypadku braku księgi wieczystej informacja o powierzchni działki i stanie prawnym nieruchomości</w:t>
            </w:r>
            <w:r w:rsidRPr="00BD79C4">
              <w:rPr>
                <w:rStyle w:val="Odwoanieprzypisudolnego"/>
                <w:rFonts w:cs="Arial"/>
                <w:sz w:val="20"/>
                <w:szCs w:val="20"/>
              </w:rPr>
              <w:footnoteReference w:id="2"/>
            </w:r>
          </w:p>
        </w:tc>
        <w:tc>
          <w:tcPr>
            <w:tcW w:w="6861" w:type="dxa"/>
            <w:gridSpan w:val="6"/>
          </w:tcPr>
          <w:p w14:paraId="7DFC985B" w14:textId="77777777" w:rsidR="00962D9E" w:rsidRPr="00BD79C4" w:rsidRDefault="00962D9E" w:rsidP="00962D9E">
            <w:pPr>
              <w:pStyle w:val="Akapitzlist"/>
              <w:spacing w:before="30" w:after="0" w:line="240" w:lineRule="auto"/>
              <w:ind w:left="0"/>
              <w:rPr>
                <w:rFonts w:cs="Arial"/>
                <w:sz w:val="20"/>
                <w:szCs w:val="20"/>
              </w:rPr>
            </w:pPr>
            <w:r w:rsidRPr="00BD79C4">
              <w:rPr>
                <w:rFonts w:cs="Arial"/>
                <w:sz w:val="20"/>
                <w:szCs w:val="20"/>
              </w:rPr>
              <w:t>nie dotyczy</w:t>
            </w:r>
          </w:p>
        </w:tc>
      </w:tr>
      <w:tr w:rsidR="00BD79C4" w:rsidRPr="00BD79C4" w14:paraId="7A1B0540" w14:textId="77777777">
        <w:trPr>
          <w:trHeight w:val="612"/>
        </w:trPr>
        <w:tc>
          <w:tcPr>
            <w:tcW w:w="2920" w:type="dxa"/>
            <w:shd w:val="clear" w:color="auto" w:fill="D9D9D9" w:themeFill="background1" w:themeFillShade="D9"/>
          </w:tcPr>
          <w:p w14:paraId="38E8BAD9" w14:textId="77777777" w:rsidR="00962D9E" w:rsidRPr="00BD79C4" w:rsidRDefault="00962D9E" w:rsidP="00962D9E">
            <w:pPr>
              <w:pStyle w:val="Akapitzlist"/>
              <w:spacing w:before="40" w:after="0" w:line="240" w:lineRule="auto"/>
              <w:ind w:left="0"/>
              <w:jc w:val="both"/>
              <w:rPr>
                <w:rFonts w:cs="Arial"/>
                <w:sz w:val="20"/>
                <w:szCs w:val="20"/>
              </w:rPr>
            </w:pPr>
            <w:r w:rsidRPr="00BD79C4">
              <w:rPr>
                <w:rFonts w:cs="Arial"/>
                <w:sz w:val="20"/>
                <w:szCs w:val="20"/>
              </w:rPr>
              <w:t>Informacje dotyczące obiektów istniejących położonych w sąsiedztwie inwestycji i wpływających na warunki życia</w:t>
            </w:r>
            <w:r w:rsidRPr="00BD79C4">
              <w:rPr>
                <w:rStyle w:val="Odwoanieprzypisudolnego"/>
                <w:rFonts w:cs="Arial"/>
                <w:sz w:val="20"/>
                <w:szCs w:val="20"/>
              </w:rPr>
              <w:footnoteReference w:id="3"/>
            </w:r>
          </w:p>
        </w:tc>
        <w:tc>
          <w:tcPr>
            <w:tcW w:w="6861" w:type="dxa"/>
            <w:gridSpan w:val="6"/>
            <w:tcBorders>
              <w:bottom w:val="single" w:sz="4" w:space="0" w:color="auto"/>
            </w:tcBorders>
          </w:tcPr>
          <w:p w14:paraId="5354DFD0" w14:textId="77777777" w:rsidR="00962D9E" w:rsidRPr="00BD79C4" w:rsidRDefault="00962D9E" w:rsidP="00962D9E">
            <w:pPr>
              <w:pStyle w:val="Akapitzlist"/>
              <w:spacing w:before="30" w:after="0" w:line="240" w:lineRule="auto"/>
              <w:ind w:left="0"/>
              <w:rPr>
                <w:rFonts w:cs="Arial"/>
                <w:sz w:val="20"/>
                <w:szCs w:val="20"/>
              </w:rPr>
            </w:pPr>
            <w:r w:rsidRPr="00BD79C4">
              <w:rPr>
                <w:rFonts w:cs="Arial"/>
                <w:sz w:val="20"/>
                <w:szCs w:val="20"/>
              </w:rPr>
              <w:t>Nie dotyczy</w:t>
            </w:r>
          </w:p>
        </w:tc>
      </w:tr>
      <w:tr w:rsidR="00BD79C4" w:rsidRPr="00BD79C4" w14:paraId="02C7262A" w14:textId="77777777">
        <w:trPr>
          <w:trHeight w:val="697"/>
        </w:trPr>
        <w:tc>
          <w:tcPr>
            <w:tcW w:w="2920" w:type="dxa"/>
            <w:vMerge w:val="restart"/>
            <w:shd w:val="clear" w:color="auto" w:fill="D9D9D9" w:themeFill="background1" w:themeFillShade="D9"/>
          </w:tcPr>
          <w:p w14:paraId="79A56E85" w14:textId="77777777" w:rsidR="00962D9E" w:rsidRPr="00BD79C4" w:rsidRDefault="00962D9E" w:rsidP="00962D9E">
            <w:pPr>
              <w:pStyle w:val="Akapitzlist"/>
              <w:spacing w:before="40" w:after="0" w:line="240" w:lineRule="auto"/>
              <w:ind w:left="0"/>
              <w:jc w:val="both"/>
              <w:rPr>
                <w:rFonts w:cs="Arial"/>
                <w:sz w:val="20"/>
                <w:szCs w:val="20"/>
              </w:rPr>
            </w:pPr>
            <w:r w:rsidRPr="00BD79C4">
              <w:rPr>
                <w:rFonts w:cs="Arial"/>
                <w:sz w:val="20"/>
                <w:szCs w:val="20"/>
              </w:rPr>
              <w:t>Akty planowania przestrzennego i inne akty prawne na terenie objętym przedsięwzięciem deweloperskim lub zadaniem inwestycyjnym</w:t>
            </w:r>
          </w:p>
        </w:tc>
        <w:tc>
          <w:tcPr>
            <w:tcW w:w="3099" w:type="dxa"/>
            <w:gridSpan w:val="3"/>
          </w:tcPr>
          <w:p w14:paraId="5A8DD156" w14:textId="77777777" w:rsidR="00962D9E" w:rsidRPr="00BD79C4" w:rsidRDefault="00962D9E" w:rsidP="00962D9E">
            <w:pPr>
              <w:spacing w:after="0" w:line="240" w:lineRule="auto"/>
              <w:rPr>
                <w:rFonts w:cs="Arial"/>
                <w:sz w:val="20"/>
                <w:szCs w:val="20"/>
              </w:rPr>
            </w:pPr>
            <w:r w:rsidRPr="00BD79C4">
              <w:rPr>
                <w:rFonts w:cs="Arial"/>
                <w:sz w:val="20"/>
                <w:szCs w:val="20"/>
              </w:rPr>
              <w:t>Plan ogólny gminy</w:t>
            </w:r>
          </w:p>
        </w:tc>
        <w:tc>
          <w:tcPr>
            <w:tcW w:w="3762" w:type="dxa"/>
            <w:gridSpan w:val="3"/>
          </w:tcPr>
          <w:p w14:paraId="0DA4B52D" w14:textId="77777777" w:rsidR="00962D9E" w:rsidRPr="00BD79C4" w:rsidRDefault="00962D9E" w:rsidP="00962D9E">
            <w:pPr>
              <w:spacing w:before="30" w:after="0" w:line="240" w:lineRule="auto"/>
              <w:jc w:val="both"/>
              <w:rPr>
                <w:rFonts w:cs="Arial"/>
                <w:sz w:val="20"/>
                <w:szCs w:val="20"/>
              </w:rPr>
            </w:pPr>
            <w:r w:rsidRPr="00BD79C4">
              <w:rPr>
                <w:rFonts w:cs="Arial"/>
              </w:rPr>
              <w:t>Gmina Łodygowice nie posiada ”planu ogólnego gminy”</w:t>
            </w:r>
          </w:p>
        </w:tc>
      </w:tr>
      <w:tr w:rsidR="00BD79C4" w:rsidRPr="00BD79C4" w14:paraId="4A71C797" w14:textId="77777777">
        <w:trPr>
          <w:trHeight w:val="697"/>
        </w:trPr>
        <w:tc>
          <w:tcPr>
            <w:tcW w:w="2920" w:type="dxa"/>
            <w:vMerge/>
            <w:shd w:val="clear" w:color="auto" w:fill="D9D9D9" w:themeFill="background1" w:themeFillShade="D9"/>
          </w:tcPr>
          <w:p w14:paraId="2D0FD02F" w14:textId="77777777" w:rsidR="00962D9E" w:rsidRPr="00BD79C4" w:rsidRDefault="00962D9E" w:rsidP="00962D9E">
            <w:pPr>
              <w:pStyle w:val="Akapitzlist"/>
              <w:spacing w:before="40" w:after="0" w:line="240" w:lineRule="auto"/>
              <w:ind w:left="0"/>
              <w:jc w:val="both"/>
              <w:rPr>
                <w:rFonts w:cs="Arial"/>
                <w:sz w:val="20"/>
                <w:szCs w:val="20"/>
              </w:rPr>
            </w:pPr>
          </w:p>
        </w:tc>
        <w:tc>
          <w:tcPr>
            <w:tcW w:w="3099" w:type="dxa"/>
            <w:gridSpan w:val="3"/>
          </w:tcPr>
          <w:p w14:paraId="52B25405" w14:textId="77777777" w:rsidR="00962D9E" w:rsidRPr="00BD79C4" w:rsidRDefault="00962D9E" w:rsidP="00962D9E">
            <w:pPr>
              <w:spacing w:after="0" w:line="240" w:lineRule="auto"/>
              <w:rPr>
                <w:rFonts w:cs="Arial"/>
                <w:sz w:val="20"/>
                <w:szCs w:val="20"/>
              </w:rPr>
            </w:pPr>
            <w:r w:rsidRPr="00BD79C4">
              <w:rPr>
                <w:rFonts w:cs="Arial"/>
                <w:sz w:val="20"/>
                <w:szCs w:val="20"/>
              </w:rPr>
              <w:t>Miejscowy plan zagospodarowania przestrzennego</w:t>
            </w:r>
          </w:p>
          <w:p w14:paraId="1E4E3676" w14:textId="77777777" w:rsidR="00962D9E" w:rsidRPr="00BD79C4" w:rsidRDefault="00962D9E" w:rsidP="00962D9E">
            <w:pPr>
              <w:pStyle w:val="Akapitzlist"/>
              <w:spacing w:before="120" w:after="0" w:line="240" w:lineRule="auto"/>
              <w:ind w:left="0"/>
              <w:jc w:val="both"/>
              <w:rPr>
                <w:rFonts w:cs="Arial"/>
                <w:sz w:val="20"/>
                <w:szCs w:val="20"/>
              </w:rPr>
            </w:pPr>
          </w:p>
        </w:tc>
        <w:tc>
          <w:tcPr>
            <w:tcW w:w="3762" w:type="dxa"/>
            <w:gridSpan w:val="3"/>
          </w:tcPr>
          <w:p w14:paraId="398BFCE6" w14:textId="77777777" w:rsidR="00962D9E" w:rsidRPr="00BD79C4" w:rsidRDefault="00962D9E" w:rsidP="00962D9E">
            <w:pPr>
              <w:pStyle w:val="Akapitzlist"/>
              <w:spacing w:before="30" w:after="0" w:line="240" w:lineRule="auto"/>
              <w:ind w:left="20"/>
              <w:jc w:val="both"/>
              <w:rPr>
                <w:rFonts w:cs="Arial"/>
                <w:sz w:val="20"/>
                <w:szCs w:val="20"/>
              </w:rPr>
            </w:pPr>
            <w:r w:rsidRPr="00BD79C4">
              <w:rPr>
                <w:rFonts w:cs="Arial"/>
                <w:sz w:val="20"/>
                <w:szCs w:val="20"/>
              </w:rPr>
              <w:t xml:space="preserve">Miejscowy plan zagospodarowania przestrzennego Uchwała NR XXXIV/373/2018 Rady Gminy Łodygowice z dnia 26 lipca 2018 r. w sprawie uchwalenia miejscowego planu zagospodarowanie przestrzennego Gminy Łodygowice – </w:t>
            </w:r>
            <w:r w:rsidRPr="00BD79C4">
              <w:rPr>
                <w:rFonts w:cs="Arial"/>
                <w:sz w:val="20"/>
                <w:szCs w:val="20"/>
              </w:rPr>
              <w:lastRenderedPageBreak/>
              <w:t>sołectwa Łodygowice (Dz. Urz. Woj. Śląskiego z dnia 02 sierpnia 2018r. poz. 4955)</w:t>
            </w:r>
          </w:p>
        </w:tc>
      </w:tr>
      <w:tr w:rsidR="00BD79C4" w:rsidRPr="00BD79C4" w14:paraId="05A8E0C8" w14:textId="77777777" w:rsidTr="00440446">
        <w:trPr>
          <w:trHeight w:val="350"/>
        </w:trPr>
        <w:tc>
          <w:tcPr>
            <w:tcW w:w="2920" w:type="dxa"/>
            <w:shd w:val="clear" w:color="auto" w:fill="D9D9D9" w:themeFill="background1" w:themeFillShade="D9"/>
          </w:tcPr>
          <w:p w14:paraId="0A02C300" w14:textId="77777777" w:rsidR="00962D9E" w:rsidRPr="00BD79C4" w:rsidRDefault="00962D9E" w:rsidP="00962D9E">
            <w:pPr>
              <w:pStyle w:val="Akapitzlist"/>
              <w:spacing w:before="40" w:after="0" w:line="240" w:lineRule="auto"/>
              <w:ind w:left="0"/>
              <w:jc w:val="both"/>
              <w:rPr>
                <w:rFonts w:cs="Arial"/>
                <w:sz w:val="20"/>
                <w:szCs w:val="20"/>
              </w:rPr>
            </w:pPr>
          </w:p>
        </w:tc>
        <w:tc>
          <w:tcPr>
            <w:tcW w:w="3099" w:type="dxa"/>
            <w:gridSpan w:val="3"/>
          </w:tcPr>
          <w:p w14:paraId="26FF93FE" w14:textId="77777777" w:rsidR="00962D9E" w:rsidRPr="00BD79C4" w:rsidRDefault="00962D9E" w:rsidP="00962D9E">
            <w:pPr>
              <w:spacing w:after="0" w:line="240" w:lineRule="auto"/>
              <w:rPr>
                <w:rFonts w:cs="Arial"/>
                <w:sz w:val="20"/>
                <w:szCs w:val="20"/>
              </w:rPr>
            </w:pPr>
            <w:r w:rsidRPr="00BD79C4">
              <w:rPr>
                <w:rFonts w:cs="Arial"/>
                <w:sz w:val="20"/>
                <w:szCs w:val="20"/>
              </w:rPr>
              <w:t>Miejscowy plan odbudowy</w:t>
            </w:r>
          </w:p>
        </w:tc>
        <w:tc>
          <w:tcPr>
            <w:tcW w:w="3762" w:type="dxa"/>
            <w:gridSpan w:val="3"/>
          </w:tcPr>
          <w:p w14:paraId="35DD4B92" w14:textId="77777777" w:rsidR="00962D9E" w:rsidRPr="00BD79C4" w:rsidRDefault="00962D9E" w:rsidP="00962D9E">
            <w:pPr>
              <w:spacing w:before="30" w:after="0" w:line="240" w:lineRule="auto"/>
              <w:jc w:val="both"/>
              <w:rPr>
                <w:rFonts w:cs="Arial"/>
                <w:sz w:val="20"/>
                <w:szCs w:val="20"/>
              </w:rPr>
            </w:pPr>
            <w:r w:rsidRPr="00BD79C4">
              <w:rPr>
                <w:rFonts w:cs="Arial"/>
                <w:sz w:val="20"/>
                <w:szCs w:val="20"/>
              </w:rPr>
              <w:t>Nie dotyczy</w:t>
            </w:r>
          </w:p>
        </w:tc>
      </w:tr>
      <w:tr w:rsidR="00BD79C4" w:rsidRPr="00BD79C4" w14:paraId="53F801C6" w14:textId="77777777">
        <w:trPr>
          <w:trHeight w:val="697"/>
        </w:trPr>
        <w:tc>
          <w:tcPr>
            <w:tcW w:w="2920" w:type="dxa"/>
            <w:shd w:val="clear" w:color="auto" w:fill="D9D9D9" w:themeFill="background1" w:themeFillShade="D9"/>
          </w:tcPr>
          <w:p w14:paraId="3AC409BC" w14:textId="77777777" w:rsidR="00962D9E" w:rsidRPr="00BD79C4" w:rsidRDefault="00962D9E" w:rsidP="00962D9E">
            <w:pPr>
              <w:pStyle w:val="Akapitzlist"/>
              <w:spacing w:before="40" w:after="0" w:line="240" w:lineRule="auto"/>
              <w:ind w:left="0"/>
              <w:jc w:val="both"/>
              <w:rPr>
                <w:rFonts w:cs="Arial"/>
                <w:sz w:val="20"/>
                <w:szCs w:val="20"/>
              </w:rPr>
            </w:pPr>
          </w:p>
        </w:tc>
        <w:tc>
          <w:tcPr>
            <w:tcW w:w="3099" w:type="dxa"/>
            <w:gridSpan w:val="3"/>
          </w:tcPr>
          <w:p w14:paraId="0DB64A2A" w14:textId="77777777" w:rsidR="00962D9E" w:rsidRPr="00BD79C4" w:rsidRDefault="00962D9E" w:rsidP="00962D9E">
            <w:pPr>
              <w:spacing w:after="0" w:line="240" w:lineRule="auto"/>
              <w:rPr>
                <w:rFonts w:cs="Arial"/>
                <w:sz w:val="20"/>
                <w:szCs w:val="20"/>
              </w:rPr>
            </w:pPr>
            <w:r w:rsidRPr="00BD79C4">
              <w:rPr>
                <w:rFonts w:cs="Arial"/>
                <w:sz w:val="20"/>
                <w:szCs w:val="20"/>
              </w:rPr>
              <w:t>Inne</w:t>
            </w:r>
            <w:r w:rsidRPr="00BD79C4">
              <w:rPr>
                <w:rStyle w:val="Odwoanieprzypisudolnego"/>
                <w:rFonts w:cs="Arial"/>
                <w:sz w:val="20"/>
                <w:szCs w:val="20"/>
              </w:rPr>
              <w:footnoteReference w:id="4"/>
            </w:r>
          </w:p>
        </w:tc>
        <w:tc>
          <w:tcPr>
            <w:tcW w:w="3762" w:type="dxa"/>
            <w:gridSpan w:val="3"/>
          </w:tcPr>
          <w:p w14:paraId="2547F112" w14:textId="77777777" w:rsidR="00962D9E" w:rsidRPr="00BD79C4" w:rsidRDefault="00962D9E" w:rsidP="00962D9E">
            <w:pPr>
              <w:pStyle w:val="Akapitzlist"/>
              <w:spacing w:before="30" w:after="0" w:line="240" w:lineRule="auto"/>
              <w:ind w:left="20"/>
              <w:jc w:val="both"/>
              <w:rPr>
                <w:rFonts w:cs="Arial"/>
                <w:sz w:val="20"/>
                <w:szCs w:val="20"/>
              </w:rPr>
            </w:pPr>
            <w:r w:rsidRPr="00BD79C4">
              <w:rPr>
                <w:rFonts w:cs="Arial"/>
                <w:sz w:val="20"/>
                <w:szCs w:val="20"/>
              </w:rPr>
              <w:t>Nie dotyczy</w:t>
            </w:r>
          </w:p>
        </w:tc>
      </w:tr>
      <w:tr w:rsidR="00BD79C4" w:rsidRPr="00BD79C4" w14:paraId="393B70AB" w14:textId="77777777">
        <w:trPr>
          <w:trHeight w:val="697"/>
        </w:trPr>
        <w:tc>
          <w:tcPr>
            <w:tcW w:w="2920" w:type="dxa"/>
            <w:vMerge w:val="restart"/>
            <w:shd w:val="clear" w:color="auto" w:fill="D9D9D9" w:themeFill="background1" w:themeFillShade="D9"/>
          </w:tcPr>
          <w:p w14:paraId="6C68F8A5" w14:textId="77777777" w:rsidR="00962D9E" w:rsidRPr="00BD79C4" w:rsidRDefault="00962D9E" w:rsidP="00962D9E">
            <w:pPr>
              <w:pStyle w:val="Akapitzlist"/>
              <w:spacing w:before="40" w:after="0" w:line="240" w:lineRule="auto"/>
              <w:ind w:left="0"/>
              <w:jc w:val="both"/>
              <w:rPr>
                <w:rFonts w:cs="Arial"/>
                <w:sz w:val="20"/>
                <w:szCs w:val="20"/>
              </w:rPr>
            </w:pPr>
            <w:r w:rsidRPr="00BD79C4">
              <w:rPr>
                <w:rFonts w:cs="Arial"/>
                <w:sz w:val="20"/>
                <w:szCs w:val="20"/>
              </w:rPr>
              <w:t>Ustalenia obowiązującego miejscowego planu zagospodarowania przestrzennego dla terenu objętego przedsięwzięciem deweloperskim lub zadaniem inwestycyjnym</w:t>
            </w:r>
          </w:p>
        </w:tc>
        <w:tc>
          <w:tcPr>
            <w:tcW w:w="3099" w:type="dxa"/>
            <w:gridSpan w:val="3"/>
          </w:tcPr>
          <w:p w14:paraId="1217CB7A" w14:textId="77777777" w:rsidR="00962D9E" w:rsidRPr="00BD79C4" w:rsidRDefault="00962D9E" w:rsidP="00962D9E">
            <w:pPr>
              <w:spacing w:after="0" w:line="240" w:lineRule="auto"/>
              <w:rPr>
                <w:rFonts w:cs="Arial"/>
                <w:sz w:val="20"/>
                <w:szCs w:val="20"/>
              </w:rPr>
            </w:pPr>
            <w:r w:rsidRPr="00BD79C4">
              <w:rPr>
                <w:rFonts w:cs="Arial"/>
                <w:sz w:val="20"/>
                <w:szCs w:val="20"/>
              </w:rPr>
              <w:t>Przeznaczenie terenu</w:t>
            </w:r>
          </w:p>
        </w:tc>
        <w:tc>
          <w:tcPr>
            <w:tcW w:w="3762" w:type="dxa"/>
            <w:gridSpan w:val="3"/>
          </w:tcPr>
          <w:p w14:paraId="35E5D2C6" w14:textId="77777777" w:rsidR="00962D9E" w:rsidRPr="00BD79C4" w:rsidRDefault="00962D9E" w:rsidP="00962D9E">
            <w:pPr>
              <w:pStyle w:val="Akapitzlist"/>
              <w:spacing w:before="30" w:after="0" w:line="240" w:lineRule="auto"/>
              <w:ind w:left="20"/>
              <w:jc w:val="both"/>
              <w:rPr>
                <w:rFonts w:cs="Arial"/>
                <w:sz w:val="20"/>
                <w:szCs w:val="20"/>
              </w:rPr>
            </w:pPr>
            <w:r w:rsidRPr="00BD79C4">
              <w:rPr>
                <w:rFonts w:cs="Arial"/>
                <w:sz w:val="20"/>
                <w:szCs w:val="20"/>
              </w:rPr>
              <w:t>Zgodnie z ww. miejscowym planem zagospodarowanie przestrzennego przedmiotowa inwestycja znajduje się na terenie oznaczonym symbolami:</w:t>
            </w:r>
          </w:p>
          <w:p w14:paraId="4CD3CC65" w14:textId="52B5581B" w:rsidR="00962D9E" w:rsidRPr="00BD79C4" w:rsidRDefault="00962D9E" w:rsidP="00962D9E">
            <w:pPr>
              <w:pStyle w:val="Akapitzlist"/>
              <w:spacing w:before="30" w:after="0" w:line="240" w:lineRule="auto"/>
              <w:ind w:left="20"/>
              <w:jc w:val="both"/>
              <w:rPr>
                <w:rFonts w:cs="Arial"/>
                <w:sz w:val="20"/>
                <w:szCs w:val="20"/>
              </w:rPr>
            </w:pPr>
            <w:r w:rsidRPr="00BD79C4">
              <w:rPr>
                <w:rFonts w:cs="Arial"/>
                <w:sz w:val="20"/>
                <w:szCs w:val="20"/>
              </w:rPr>
              <w:t>Działka nr 6233/</w:t>
            </w:r>
            <w:r w:rsidR="00440446">
              <w:rPr>
                <w:rFonts w:cs="Arial"/>
                <w:sz w:val="20"/>
                <w:szCs w:val="20"/>
              </w:rPr>
              <w:t>6</w:t>
            </w:r>
            <w:r w:rsidRPr="00BD79C4">
              <w:rPr>
                <w:rFonts w:cs="Arial"/>
                <w:sz w:val="20"/>
                <w:szCs w:val="20"/>
              </w:rPr>
              <w:t>, 6233/36:</w:t>
            </w:r>
          </w:p>
          <w:p w14:paraId="7455300E" w14:textId="77777777" w:rsidR="00962D9E" w:rsidRPr="00BD79C4" w:rsidRDefault="00962D9E" w:rsidP="00962D9E">
            <w:pPr>
              <w:pStyle w:val="Akapitzlist"/>
              <w:spacing w:before="30" w:after="0" w:line="240" w:lineRule="auto"/>
              <w:ind w:left="20"/>
              <w:jc w:val="both"/>
              <w:rPr>
                <w:rFonts w:cs="Arial"/>
                <w:sz w:val="20"/>
                <w:szCs w:val="20"/>
              </w:rPr>
            </w:pPr>
            <w:r w:rsidRPr="00BD79C4">
              <w:rPr>
                <w:rFonts w:cs="Arial"/>
                <w:b/>
                <w:bCs/>
                <w:sz w:val="20"/>
                <w:szCs w:val="20"/>
              </w:rPr>
              <w:t>96MN</w:t>
            </w:r>
            <w:r w:rsidRPr="00BD79C4">
              <w:rPr>
                <w:rFonts w:cs="Arial"/>
                <w:bCs/>
                <w:sz w:val="20"/>
                <w:szCs w:val="20"/>
              </w:rPr>
              <w:t xml:space="preserve"> – t</w:t>
            </w:r>
            <w:r w:rsidRPr="00BD79C4">
              <w:rPr>
                <w:rFonts w:cs="Arial"/>
                <w:sz w:val="20"/>
                <w:szCs w:val="20"/>
              </w:rPr>
              <w:t>ereny zabudowy mieszkaniowej jednorodzinnej – około 87% powierzchni</w:t>
            </w:r>
          </w:p>
          <w:p w14:paraId="03218279" w14:textId="77777777" w:rsidR="00962D9E" w:rsidRPr="00BD79C4" w:rsidRDefault="00962D9E" w:rsidP="00962D9E">
            <w:pPr>
              <w:pStyle w:val="Akapitzlist"/>
              <w:spacing w:before="30" w:after="0" w:line="240" w:lineRule="auto"/>
              <w:ind w:left="20"/>
              <w:jc w:val="both"/>
              <w:rPr>
                <w:rFonts w:cs="Arial"/>
                <w:sz w:val="20"/>
                <w:szCs w:val="20"/>
              </w:rPr>
            </w:pPr>
            <w:r w:rsidRPr="00BD79C4">
              <w:rPr>
                <w:rFonts w:cs="Arial"/>
                <w:b/>
                <w:bCs/>
                <w:sz w:val="20"/>
                <w:szCs w:val="20"/>
              </w:rPr>
              <w:t xml:space="preserve">100ZE </w:t>
            </w:r>
            <w:r w:rsidRPr="00BD79C4">
              <w:rPr>
                <w:rFonts w:cs="Arial"/>
                <w:sz w:val="20"/>
                <w:szCs w:val="20"/>
              </w:rPr>
              <w:t>– tereny zieleni o znaczeniu ekologicznym – około 8% powierzchni</w:t>
            </w:r>
          </w:p>
          <w:p w14:paraId="37971953" w14:textId="77777777" w:rsidR="00962D9E" w:rsidRPr="00BD79C4" w:rsidRDefault="00962D9E" w:rsidP="00962D9E">
            <w:pPr>
              <w:pStyle w:val="Akapitzlist"/>
              <w:spacing w:before="30" w:after="0" w:line="240" w:lineRule="auto"/>
              <w:ind w:left="20"/>
              <w:jc w:val="both"/>
              <w:rPr>
                <w:rFonts w:cs="Arial"/>
                <w:sz w:val="20"/>
                <w:szCs w:val="20"/>
              </w:rPr>
            </w:pPr>
            <w:r w:rsidRPr="00BD79C4">
              <w:rPr>
                <w:rFonts w:cs="Arial"/>
                <w:b/>
                <w:bCs/>
                <w:sz w:val="20"/>
                <w:szCs w:val="20"/>
              </w:rPr>
              <w:t xml:space="preserve">9KDL </w:t>
            </w:r>
            <w:r w:rsidRPr="00BD79C4">
              <w:rPr>
                <w:rFonts w:cs="Arial"/>
                <w:sz w:val="20"/>
                <w:szCs w:val="20"/>
              </w:rPr>
              <w:t>– tereny dróg publicznych klasy: droga lokalna – około 3% powierzchni</w:t>
            </w:r>
          </w:p>
          <w:p w14:paraId="3AB355EE" w14:textId="77777777" w:rsidR="00962D9E" w:rsidRPr="00BD79C4" w:rsidRDefault="00962D9E" w:rsidP="00962D9E">
            <w:pPr>
              <w:pStyle w:val="Akapitzlist"/>
              <w:spacing w:before="30" w:after="0" w:line="240" w:lineRule="auto"/>
              <w:ind w:left="20"/>
              <w:jc w:val="both"/>
              <w:rPr>
                <w:rFonts w:cs="Arial"/>
                <w:sz w:val="20"/>
                <w:szCs w:val="20"/>
              </w:rPr>
            </w:pPr>
            <w:r w:rsidRPr="00BD79C4">
              <w:rPr>
                <w:rFonts w:cs="Arial"/>
                <w:b/>
                <w:bCs/>
                <w:sz w:val="20"/>
                <w:szCs w:val="20"/>
              </w:rPr>
              <w:t>35WS</w:t>
            </w:r>
            <w:r w:rsidRPr="00BD79C4">
              <w:rPr>
                <w:rFonts w:cs="Arial"/>
                <w:sz w:val="20"/>
                <w:szCs w:val="20"/>
              </w:rPr>
              <w:t xml:space="preserve"> – tereny wód powierzchniowych śródlądowych – około 2% powierzchni</w:t>
            </w:r>
          </w:p>
          <w:p w14:paraId="0CF44E9A" w14:textId="77777777" w:rsidR="00962D9E" w:rsidRPr="00BD79C4" w:rsidRDefault="00962D9E" w:rsidP="00962D9E">
            <w:pPr>
              <w:pStyle w:val="Akapitzlist"/>
              <w:spacing w:before="30" w:after="0" w:line="240" w:lineRule="auto"/>
              <w:ind w:left="20"/>
              <w:jc w:val="both"/>
              <w:rPr>
                <w:rFonts w:cs="Arial"/>
                <w:sz w:val="20"/>
                <w:szCs w:val="20"/>
              </w:rPr>
            </w:pPr>
          </w:p>
          <w:p w14:paraId="137813D5" w14:textId="77777777" w:rsidR="00962D9E" w:rsidRPr="00BD79C4" w:rsidRDefault="00962D9E" w:rsidP="00962D9E">
            <w:pPr>
              <w:pStyle w:val="Akapitzlist"/>
              <w:spacing w:before="30" w:after="0" w:line="240" w:lineRule="auto"/>
              <w:ind w:left="20"/>
              <w:jc w:val="both"/>
              <w:rPr>
                <w:rFonts w:cs="Arial"/>
                <w:sz w:val="20"/>
                <w:szCs w:val="20"/>
              </w:rPr>
            </w:pPr>
            <w:r w:rsidRPr="00BD79C4">
              <w:rPr>
                <w:rFonts w:cs="Arial"/>
                <w:sz w:val="20"/>
                <w:szCs w:val="20"/>
              </w:rPr>
              <w:t>Działka nr 6233/4 – działka drogowa</w:t>
            </w:r>
          </w:p>
          <w:p w14:paraId="009D9A77" w14:textId="77777777" w:rsidR="00962D9E" w:rsidRPr="00BD79C4" w:rsidRDefault="00962D9E" w:rsidP="00962D9E">
            <w:pPr>
              <w:pStyle w:val="Akapitzlist"/>
              <w:spacing w:before="30" w:after="0" w:line="240" w:lineRule="auto"/>
              <w:ind w:left="20"/>
              <w:jc w:val="both"/>
              <w:rPr>
                <w:rFonts w:cs="Arial"/>
                <w:sz w:val="20"/>
                <w:szCs w:val="20"/>
              </w:rPr>
            </w:pPr>
            <w:r w:rsidRPr="00BD79C4">
              <w:rPr>
                <w:rFonts w:cs="Arial"/>
                <w:b/>
                <w:bCs/>
                <w:sz w:val="20"/>
                <w:szCs w:val="20"/>
              </w:rPr>
              <w:t xml:space="preserve">96MN </w:t>
            </w:r>
            <w:r w:rsidRPr="00BD79C4">
              <w:rPr>
                <w:rFonts w:cs="Arial"/>
                <w:sz w:val="20"/>
                <w:szCs w:val="20"/>
              </w:rPr>
              <w:t>– tereny zabudowy mieszkaniowej jednorodzinnej</w:t>
            </w:r>
          </w:p>
        </w:tc>
      </w:tr>
      <w:tr w:rsidR="00BD79C4" w:rsidRPr="00BD79C4" w14:paraId="76A46421" w14:textId="77777777">
        <w:trPr>
          <w:trHeight w:val="697"/>
        </w:trPr>
        <w:tc>
          <w:tcPr>
            <w:tcW w:w="2920" w:type="dxa"/>
            <w:vMerge/>
            <w:shd w:val="clear" w:color="auto" w:fill="D9D9D9" w:themeFill="background1" w:themeFillShade="D9"/>
          </w:tcPr>
          <w:p w14:paraId="385E14C2" w14:textId="77777777" w:rsidR="00962D9E" w:rsidRPr="00BD79C4" w:rsidRDefault="00962D9E" w:rsidP="00962D9E">
            <w:pPr>
              <w:pStyle w:val="Akapitzlist"/>
              <w:spacing w:before="40" w:after="0" w:line="240" w:lineRule="auto"/>
              <w:ind w:left="0"/>
              <w:jc w:val="both"/>
              <w:rPr>
                <w:rFonts w:cs="Arial"/>
                <w:sz w:val="20"/>
                <w:szCs w:val="20"/>
              </w:rPr>
            </w:pPr>
          </w:p>
        </w:tc>
        <w:tc>
          <w:tcPr>
            <w:tcW w:w="3099" w:type="dxa"/>
            <w:gridSpan w:val="3"/>
          </w:tcPr>
          <w:p w14:paraId="0C4F241B" w14:textId="77777777" w:rsidR="00962D9E" w:rsidRPr="00BD79C4" w:rsidRDefault="00962D9E" w:rsidP="00962D9E">
            <w:pPr>
              <w:pStyle w:val="Akapitzlist"/>
              <w:spacing w:before="120" w:after="0" w:line="240" w:lineRule="auto"/>
              <w:ind w:left="0"/>
              <w:jc w:val="both"/>
              <w:rPr>
                <w:rFonts w:cs="Arial"/>
                <w:sz w:val="20"/>
                <w:szCs w:val="20"/>
              </w:rPr>
            </w:pPr>
            <w:r w:rsidRPr="00BD79C4">
              <w:rPr>
                <w:rFonts w:cs="Arial"/>
                <w:sz w:val="20"/>
                <w:szCs w:val="20"/>
              </w:rPr>
              <w:t>Maksymalna  intensywność zabudowy</w:t>
            </w:r>
          </w:p>
        </w:tc>
        <w:tc>
          <w:tcPr>
            <w:tcW w:w="3762" w:type="dxa"/>
            <w:gridSpan w:val="3"/>
          </w:tcPr>
          <w:p w14:paraId="5328DA2D" w14:textId="77777777" w:rsidR="00962D9E" w:rsidRPr="00BD79C4" w:rsidRDefault="00962D9E" w:rsidP="00962D9E">
            <w:pPr>
              <w:pStyle w:val="Akapitzlist"/>
              <w:spacing w:before="30" w:after="0" w:line="240" w:lineRule="auto"/>
              <w:ind w:left="20"/>
              <w:jc w:val="both"/>
              <w:rPr>
                <w:rFonts w:cs="Arial"/>
                <w:sz w:val="20"/>
                <w:szCs w:val="20"/>
              </w:rPr>
            </w:pPr>
            <w:r w:rsidRPr="00BD79C4">
              <w:rPr>
                <w:rFonts w:cs="Arial"/>
                <w:sz w:val="20"/>
                <w:szCs w:val="20"/>
              </w:rPr>
              <w:t>Minimalny wskaźnik – 0,01</w:t>
            </w:r>
          </w:p>
          <w:p w14:paraId="6146DD4B" w14:textId="77777777" w:rsidR="00962D9E" w:rsidRPr="00BD79C4" w:rsidRDefault="00962D9E" w:rsidP="00962D9E">
            <w:pPr>
              <w:pStyle w:val="Akapitzlist"/>
              <w:spacing w:before="30" w:after="0" w:line="240" w:lineRule="auto"/>
              <w:ind w:left="20"/>
              <w:jc w:val="both"/>
              <w:rPr>
                <w:rFonts w:cs="Arial"/>
                <w:sz w:val="20"/>
                <w:szCs w:val="20"/>
              </w:rPr>
            </w:pPr>
            <w:r w:rsidRPr="00BD79C4">
              <w:rPr>
                <w:rFonts w:cs="Arial"/>
                <w:sz w:val="20"/>
                <w:szCs w:val="20"/>
              </w:rPr>
              <w:t>Maksymalny wskaźnik – 1,8</w:t>
            </w:r>
          </w:p>
        </w:tc>
      </w:tr>
      <w:tr w:rsidR="00BD79C4" w:rsidRPr="00BD79C4" w14:paraId="22DD0896" w14:textId="77777777">
        <w:trPr>
          <w:trHeight w:val="697"/>
        </w:trPr>
        <w:tc>
          <w:tcPr>
            <w:tcW w:w="2920" w:type="dxa"/>
            <w:vMerge/>
            <w:shd w:val="clear" w:color="auto" w:fill="D9D9D9" w:themeFill="background1" w:themeFillShade="D9"/>
          </w:tcPr>
          <w:p w14:paraId="1BA236AF" w14:textId="77777777" w:rsidR="00962D9E" w:rsidRPr="00BD79C4" w:rsidRDefault="00962D9E" w:rsidP="00962D9E">
            <w:pPr>
              <w:pStyle w:val="Akapitzlist"/>
              <w:spacing w:before="40" w:after="0" w:line="240" w:lineRule="auto"/>
              <w:ind w:left="0"/>
              <w:jc w:val="both"/>
              <w:rPr>
                <w:rFonts w:cs="Arial"/>
                <w:sz w:val="20"/>
                <w:szCs w:val="20"/>
              </w:rPr>
            </w:pPr>
          </w:p>
        </w:tc>
        <w:tc>
          <w:tcPr>
            <w:tcW w:w="3099" w:type="dxa"/>
            <w:gridSpan w:val="3"/>
          </w:tcPr>
          <w:p w14:paraId="3918923E" w14:textId="77777777" w:rsidR="00962D9E" w:rsidRPr="00BD79C4" w:rsidRDefault="00962D9E" w:rsidP="00962D9E">
            <w:pPr>
              <w:pStyle w:val="Akapitzlist"/>
              <w:spacing w:before="120" w:after="0" w:line="240" w:lineRule="auto"/>
              <w:ind w:left="0"/>
              <w:jc w:val="both"/>
              <w:rPr>
                <w:rFonts w:cs="Arial"/>
                <w:sz w:val="20"/>
                <w:szCs w:val="20"/>
              </w:rPr>
            </w:pPr>
            <w:r w:rsidRPr="00BD79C4">
              <w:rPr>
                <w:rFonts w:cs="Arial"/>
                <w:sz w:val="20"/>
                <w:szCs w:val="20"/>
              </w:rPr>
              <w:t xml:space="preserve">Maksymalna i minimalna nadziemna intensywność zabudowy </w:t>
            </w:r>
          </w:p>
        </w:tc>
        <w:tc>
          <w:tcPr>
            <w:tcW w:w="3762" w:type="dxa"/>
            <w:gridSpan w:val="3"/>
          </w:tcPr>
          <w:p w14:paraId="7EAF36FA" w14:textId="77777777" w:rsidR="00962D9E" w:rsidRPr="00BD79C4" w:rsidRDefault="00962D9E" w:rsidP="00962D9E">
            <w:pPr>
              <w:pStyle w:val="Akapitzlist"/>
              <w:spacing w:before="30" w:after="0" w:line="240" w:lineRule="auto"/>
              <w:ind w:left="20"/>
              <w:jc w:val="both"/>
              <w:rPr>
                <w:rFonts w:cs="Arial"/>
                <w:sz w:val="20"/>
                <w:szCs w:val="20"/>
              </w:rPr>
            </w:pPr>
            <w:r w:rsidRPr="00BD79C4">
              <w:rPr>
                <w:rFonts w:cs="Arial"/>
                <w:sz w:val="20"/>
                <w:szCs w:val="20"/>
              </w:rPr>
              <w:t>Nie dotyczy</w:t>
            </w:r>
          </w:p>
        </w:tc>
      </w:tr>
      <w:tr w:rsidR="00BD79C4" w:rsidRPr="00BD79C4" w14:paraId="377D3FB0" w14:textId="77777777">
        <w:trPr>
          <w:trHeight w:val="697"/>
        </w:trPr>
        <w:tc>
          <w:tcPr>
            <w:tcW w:w="2920" w:type="dxa"/>
            <w:vMerge/>
            <w:shd w:val="clear" w:color="auto" w:fill="D9D9D9" w:themeFill="background1" w:themeFillShade="D9"/>
          </w:tcPr>
          <w:p w14:paraId="149F2E66" w14:textId="77777777" w:rsidR="00962D9E" w:rsidRPr="00BD79C4" w:rsidRDefault="00962D9E" w:rsidP="00962D9E">
            <w:pPr>
              <w:pStyle w:val="Akapitzlist"/>
              <w:spacing w:before="40" w:after="0" w:line="240" w:lineRule="auto"/>
              <w:ind w:left="0"/>
              <w:jc w:val="both"/>
              <w:rPr>
                <w:rFonts w:cs="Arial"/>
                <w:sz w:val="20"/>
                <w:szCs w:val="20"/>
              </w:rPr>
            </w:pPr>
          </w:p>
        </w:tc>
        <w:tc>
          <w:tcPr>
            <w:tcW w:w="3099" w:type="dxa"/>
            <w:gridSpan w:val="3"/>
          </w:tcPr>
          <w:p w14:paraId="39C3B29B" w14:textId="77777777" w:rsidR="00962D9E" w:rsidRPr="00BD79C4" w:rsidRDefault="00962D9E" w:rsidP="00962D9E">
            <w:pPr>
              <w:pStyle w:val="Akapitzlist"/>
              <w:spacing w:before="120" w:after="0" w:line="240" w:lineRule="auto"/>
              <w:ind w:left="0"/>
              <w:jc w:val="both"/>
              <w:rPr>
                <w:rFonts w:cs="Arial"/>
                <w:sz w:val="20"/>
                <w:szCs w:val="20"/>
              </w:rPr>
            </w:pPr>
            <w:r w:rsidRPr="00BD79C4">
              <w:rPr>
                <w:rFonts w:cs="Arial"/>
                <w:sz w:val="20"/>
                <w:szCs w:val="20"/>
              </w:rPr>
              <w:t>Maksymalna powierzchnia zabudowy</w:t>
            </w:r>
          </w:p>
        </w:tc>
        <w:tc>
          <w:tcPr>
            <w:tcW w:w="3762" w:type="dxa"/>
            <w:gridSpan w:val="3"/>
          </w:tcPr>
          <w:p w14:paraId="23A7BCF3" w14:textId="77777777" w:rsidR="00962D9E" w:rsidRPr="00BD79C4" w:rsidRDefault="00962D9E" w:rsidP="00962D9E">
            <w:pPr>
              <w:pStyle w:val="Akapitzlist"/>
              <w:spacing w:before="30" w:after="0" w:line="240" w:lineRule="auto"/>
              <w:ind w:left="0"/>
              <w:rPr>
                <w:sz w:val="20"/>
                <w:szCs w:val="20"/>
              </w:rPr>
            </w:pPr>
            <w:r w:rsidRPr="00BD79C4">
              <w:rPr>
                <w:sz w:val="20"/>
                <w:szCs w:val="20"/>
              </w:rPr>
              <w:t>Powierzchnia  nowo wydzielanych działek budowlanych dla:</w:t>
            </w:r>
          </w:p>
          <w:p w14:paraId="75088B8B" w14:textId="77777777" w:rsidR="00962D9E" w:rsidRPr="00BD79C4" w:rsidRDefault="00962D9E" w:rsidP="00962D9E">
            <w:pPr>
              <w:pStyle w:val="Akapitzlist"/>
              <w:numPr>
                <w:ilvl w:val="0"/>
                <w:numId w:val="2"/>
              </w:numPr>
              <w:spacing w:before="30" w:after="0" w:line="240" w:lineRule="auto"/>
              <w:rPr>
                <w:sz w:val="20"/>
                <w:szCs w:val="20"/>
              </w:rPr>
            </w:pPr>
            <w:r w:rsidRPr="00BD79C4">
              <w:rPr>
                <w:sz w:val="20"/>
                <w:szCs w:val="20"/>
              </w:rPr>
              <w:t>Zabudowy mieszkaniowej jednorodzinnej wolnostojącej : min. 600 m</w:t>
            </w:r>
            <w:r w:rsidRPr="00BD79C4">
              <w:rPr>
                <w:rFonts w:ascii="Calibri" w:hAnsi="Calibri" w:cs="Calibri"/>
                <w:sz w:val="20"/>
                <w:szCs w:val="20"/>
              </w:rPr>
              <w:t>²</w:t>
            </w:r>
          </w:p>
          <w:p w14:paraId="63DE4875" w14:textId="77777777" w:rsidR="00962D9E" w:rsidRPr="00BD79C4" w:rsidRDefault="00962D9E" w:rsidP="00962D9E">
            <w:pPr>
              <w:pStyle w:val="Akapitzlist"/>
              <w:numPr>
                <w:ilvl w:val="0"/>
                <w:numId w:val="2"/>
              </w:numPr>
              <w:spacing w:before="30" w:after="0" w:line="240" w:lineRule="auto"/>
              <w:rPr>
                <w:sz w:val="20"/>
                <w:szCs w:val="20"/>
              </w:rPr>
            </w:pPr>
            <w:r w:rsidRPr="00BD79C4">
              <w:rPr>
                <w:sz w:val="20"/>
                <w:szCs w:val="20"/>
              </w:rPr>
              <w:t>Zabudowy mieszkaniowej jednorodzinnej bliźniaczej : min. 450 m</w:t>
            </w:r>
            <w:r w:rsidRPr="00BD79C4">
              <w:rPr>
                <w:rFonts w:ascii="Calibri" w:hAnsi="Calibri" w:cs="Calibri"/>
                <w:sz w:val="20"/>
                <w:szCs w:val="20"/>
              </w:rPr>
              <w:t>²</w:t>
            </w:r>
          </w:p>
          <w:p w14:paraId="618E9F2C" w14:textId="77777777" w:rsidR="00962D9E" w:rsidRPr="00BD79C4" w:rsidRDefault="00962D9E" w:rsidP="00962D9E">
            <w:pPr>
              <w:pStyle w:val="Akapitzlist"/>
              <w:spacing w:before="30" w:after="0" w:line="240" w:lineRule="auto"/>
              <w:ind w:left="20"/>
              <w:jc w:val="both"/>
              <w:rPr>
                <w:rFonts w:cs="Arial"/>
                <w:sz w:val="20"/>
                <w:szCs w:val="20"/>
              </w:rPr>
            </w:pPr>
            <w:r w:rsidRPr="00BD79C4">
              <w:rPr>
                <w:sz w:val="20"/>
                <w:szCs w:val="20"/>
              </w:rPr>
              <w:t>Zabudowy mieszkaniowej jednorodzinnej z funkcją usługową: min 600 m</w:t>
            </w:r>
            <w:r w:rsidRPr="00BD79C4">
              <w:rPr>
                <w:rFonts w:ascii="Calibri" w:hAnsi="Calibri" w:cs="Calibri"/>
                <w:sz w:val="20"/>
                <w:szCs w:val="20"/>
              </w:rPr>
              <w:t>²</w:t>
            </w:r>
          </w:p>
        </w:tc>
      </w:tr>
      <w:tr w:rsidR="00BD79C4" w:rsidRPr="00BD79C4" w14:paraId="42E39191" w14:textId="77777777">
        <w:trPr>
          <w:trHeight w:val="697"/>
        </w:trPr>
        <w:tc>
          <w:tcPr>
            <w:tcW w:w="2920" w:type="dxa"/>
            <w:vMerge/>
            <w:shd w:val="clear" w:color="auto" w:fill="D9D9D9" w:themeFill="background1" w:themeFillShade="D9"/>
          </w:tcPr>
          <w:p w14:paraId="5B012192" w14:textId="77777777" w:rsidR="00962D9E" w:rsidRPr="00BD79C4" w:rsidRDefault="00962D9E" w:rsidP="00962D9E">
            <w:pPr>
              <w:pStyle w:val="Akapitzlist"/>
              <w:spacing w:before="40" w:after="0" w:line="240" w:lineRule="auto"/>
              <w:ind w:left="0"/>
              <w:jc w:val="both"/>
              <w:rPr>
                <w:rFonts w:cs="Arial"/>
                <w:sz w:val="20"/>
                <w:szCs w:val="20"/>
              </w:rPr>
            </w:pPr>
          </w:p>
        </w:tc>
        <w:tc>
          <w:tcPr>
            <w:tcW w:w="3099" w:type="dxa"/>
            <w:gridSpan w:val="3"/>
          </w:tcPr>
          <w:p w14:paraId="5571C7B0" w14:textId="77777777" w:rsidR="00962D9E" w:rsidRPr="00BD79C4" w:rsidRDefault="00962D9E" w:rsidP="00962D9E">
            <w:pPr>
              <w:spacing w:after="0" w:line="240" w:lineRule="auto"/>
              <w:rPr>
                <w:rFonts w:cs="Arial"/>
                <w:sz w:val="20"/>
                <w:szCs w:val="20"/>
              </w:rPr>
            </w:pPr>
            <w:r w:rsidRPr="00BD79C4">
              <w:rPr>
                <w:rFonts w:cs="Arial"/>
                <w:sz w:val="20"/>
                <w:szCs w:val="20"/>
              </w:rPr>
              <w:t>Maksymalna wysokość zabudowy</w:t>
            </w:r>
          </w:p>
        </w:tc>
        <w:tc>
          <w:tcPr>
            <w:tcW w:w="3762" w:type="dxa"/>
            <w:gridSpan w:val="3"/>
          </w:tcPr>
          <w:p w14:paraId="09068920" w14:textId="77777777" w:rsidR="00962D9E" w:rsidRPr="00BD79C4" w:rsidRDefault="00962D9E" w:rsidP="00962D9E">
            <w:pPr>
              <w:spacing w:before="30" w:after="0" w:line="240" w:lineRule="auto"/>
              <w:jc w:val="both"/>
              <w:rPr>
                <w:rFonts w:cs="Arial"/>
                <w:sz w:val="20"/>
                <w:szCs w:val="20"/>
              </w:rPr>
            </w:pPr>
            <w:r w:rsidRPr="00BD79C4">
              <w:rPr>
                <w:rFonts w:cs="Arial"/>
                <w:sz w:val="20"/>
                <w:szCs w:val="20"/>
              </w:rPr>
              <w:t xml:space="preserve">Maksymalna wysokość nowo realizowanej zabudowy dla terenu o symbolu </w:t>
            </w:r>
            <w:r w:rsidRPr="00BD79C4">
              <w:rPr>
                <w:rFonts w:cs="Arial"/>
                <w:b/>
                <w:bCs/>
                <w:sz w:val="20"/>
                <w:szCs w:val="20"/>
              </w:rPr>
              <w:t>MN</w:t>
            </w:r>
            <w:r w:rsidRPr="00BD79C4">
              <w:rPr>
                <w:rFonts w:cs="Arial"/>
                <w:sz w:val="20"/>
                <w:szCs w:val="20"/>
              </w:rPr>
              <w:t xml:space="preserve">: </w:t>
            </w:r>
          </w:p>
          <w:p w14:paraId="5AC75076" w14:textId="77777777" w:rsidR="00962D9E" w:rsidRPr="00BD79C4" w:rsidRDefault="00962D9E" w:rsidP="00962D9E">
            <w:pPr>
              <w:spacing w:before="30" w:after="0" w:line="240" w:lineRule="auto"/>
              <w:jc w:val="both"/>
              <w:rPr>
                <w:rFonts w:cs="Arial"/>
                <w:sz w:val="20"/>
                <w:szCs w:val="20"/>
              </w:rPr>
            </w:pPr>
            <w:r w:rsidRPr="00BD79C4">
              <w:rPr>
                <w:rFonts w:cs="Arial"/>
                <w:sz w:val="20"/>
                <w:szCs w:val="20"/>
              </w:rPr>
              <w:t>-budynków mieszkalnych jednorodzinnych i zabudowy zagrodowej: 12 m,</w:t>
            </w:r>
          </w:p>
          <w:p w14:paraId="2B66B5C8" w14:textId="77777777" w:rsidR="00962D9E" w:rsidRPr="00BD79C4" w:rsidRDefault="00962D9E" w:rsidP="00962D9E">
            <w:pPr>
              <w:spacing w:before="30" w:after="0" w:line="240" w:lineRule="auto"/>
              <w:jc w:val="both"/>
              <w:rPr>
                <w:rFonts w:cs="Arial"/>
                <w:sz w:val="20"/>
                <w:szCs w:val="20"/>
              </w:rPr>
            </w:pPr>
            <w:r w:rsidRPr="00BD79C4">
              <w:rPr>
                <w:rFonts w:cs="Arial"/>
                <w:sz w:val="20"/>
                <w:szCs w:val="20"/>
              </w:rPr>
              <w:t>- budynków usługowych: 8 m</w:t>
            </w:r>
          </w:p>
          <w:p w14:paraId="1E587740" w14:textId="77777777" w:rsidR="00962D9E" w:rsidRPr="00BD79C4" w:rsidRDefault="00962D9E" w:rsidP="00962D9E">
            <w:pPr>
              <w:spacing w:before="30" w:after="0" w:line="240" w:lineRule="auto"/>
              <w:jc w:val="both"/>
              <w:rPr>
                <w:rFonts w:cs="Arial"/>
                <w:sz w:val="20"/>
                <w:szCs w:val="20"/>
              </w:rPr>
            </w:pPr>
            <w:r w:rsidRPr="00BD79C4">
              <w:rPr>
                <w:rFonts w:cs="Arial"/>
                <w:sz w:val="20"/>
                <w:szCs w:val="20"/>
              </w:rPr>
              <w:lastRenderedPageBreak/>
              <w:t>- pozostałych obiektów budowlanych: 5 m</w:t>
            </w:r>
          </w:p>
        </w:tc>
      </w:tr>
      <w:tr w:rsidR="00BD79C4" w:rsidRPr="00BD79C4" w14:paraId="078B4585" w14:textId="77777777">
        <w:trPr>
          <w:trHeight w:val="697"/>
        </w:trPr>
        <w:tc>
          <w:tcPr>
            <w:tcW w:w="2920" w:type="dxa"/>
            <w:vMerge/>
            <w:shd w:val="clear" w:color="auto" w:fill="D9D9D9" w:themeFill="background1" w:themeFillShade="D9"/>
          </w:tcPr>
          <w:p w14:paraId="2F542DCF" w14:textId="77777777" w:rsidR="00962D9E" w:rsidRPr="00BD79C4" w:rsidRDefault="00962D9E" w:rsidP="00962D9E">
            <w:pPr>
              <w:pStyle w:val="Akapitzlist"/>
              <w:spacing w:before="40" w:after="0" w:line="240" w:lineRule="auto"/>
              <w:ind w:left="0"/>
              <w:jc w:val="both"/>
              <w:rPr>
                <w:rFonts w:cs="Arial"/>
                <w:sz w:val="20"/>
                <w:szCs w:val="20"/>
              </w:rPr>
            </w:pPr>
          </w:p>
        </w:tc>
        <w:tc>
          <w:tcPr>
            <w:tcW w:w="3099" w:type="dxa"/>
            <w:gridSpan w:val="3"/>
          </w:tcPr>
          <w:p w14:paraId="4B6E38A3" w14:textId="77777777" w:rsidR="00962D9E" w:rsidRPr="00BD79C4" w:rsidRDefault="00962D9E" w:rsidP="00962D9E">
            <w:pPr>
              <w:spacing w:after="0" w:line="240" w:lineRule="auto"/>
              <w:rPr>
                <w:rFonts w:cs="Arial"/>
                <w:sz w:val="20"/>
                <w:szCs w:val="20"/>
              </w:rPr>
            </w:pPr>
            <w:r w:rsidRPr="00BD79C4">
              <w:rPr>
                <w:rFonts w:cs="Arial"/>
                <w:sz w:val="20"/>
                <w:szCs w:val="20"/>
              </w:rPr>
              <w:t>Minimalny udział procentowy powierzchni biologicznie czynnej</w:t>
            </w:r>
          </w:p>
        </w:tc>
        <w:tc>
          <w:tcPr>
            <w:tcW w:w="3762" w:type="dxa"/>
            <w:gridSpan w:val="3"/>
          </w:tcPr>
          <w:p w14:paraId="5E7FA845" w14:textId="77777777" w:rsidR="00962D9E" w:rsidRPr="00BD79C4" w:rsidRDefault="00962D9E" w:rsidP="00962D9E">
            <w:pPr>
              <w:pStyle w:val="Akapitzlist"/>
              <w:spacing w:before="30" w:after="0" w:line="240" w:lineRule="auto"/>
              <w:ind w:left="0"/>
              <w:rPr>
                <w:sz w:val="20"/>
                <w:szCs w:val="20"/>
              </w:rPr>
            </w:pPr>
            <w:r w:rsidRPr="00BD79C4">
              <w:rPr>
                <w:sz w:val="20"/>
                <w:szCs w:val="20"/>
              </w:rPr>
              <w:t xml:space="preserve">Dla terenu o symbolu </w:t>
            </w:r>
            <w:r w:rsidRPr="00BD79C4">
              <w:rPr>
                <w:b/>
                <w:bCs/>
                <w:sz w:val="20"/>
                <w:szCs w:val="20"/>
              </w:rPr>
              <w:t xml:space="preserve">MN </w:t>
            </w:r>
            <w:r w:rsidRPr="00BD79C4">
              <w:rPr>
                <w:sz w:val="20"/>
                <w:szCs w:val="20"/>
              </w:rPr>
              <w:t>ustala się:</w:t>
            </w:r>
          </w:p>
          <w:p w14:paraId="62673DD9" w14:textId="77777777" w:rsidR="00962D9E" w:rsidRPr="00BD79C4" w:rsidRDefault="00962D9E" w:rsidP="00962D9E">
            <w:pPr>
              <w:pStyle w:val="Akapitzlist"/>
              <w:spacing w:before="30" w:after="0" w:line="240" w:lineRule="auto"/>
              <w:ind w:left="0"/>
              <w:rPr>
                <w:sz w:val="20"/>
                <w:szCs w:val="20"/>
              </w:rPr>
            </w:pPr>
            <w:r w:rsidRPr="00BD79C4">
              <w:rPr>
                <w:sz w:val="20"/>
                <w:szCs w:val="20"/>
              </w:rPr>
              <w:t>- powierzchnia zabudowy nie może przekraczać 60% powierzchni działki budowlanej.</w:t>
            </w:r>
          </w:p>
          <w:p w14:paraId="2DBCA56B" w14:textId="77777777" w:rsidR="00962D9E" w:rsidRPr="00BD79C4" w:rsidRDefault="00962D9E" w:rsidP="00962D9E">
            <w:pPr>
              <w:pStyle w:val="Akapitzlist"/>
              <w:spacing w:before="30" w:after="0" w:line="240" w:lineRule="auto"/>
              <w:ind w:left="0"/>
              <w:rPr>
                <w:sz w:val="20"/>
                <w:szCs w:val="20"/>
              </w:rPr>
            </w:pPr>
            <w:r w:rsidRPr="00BD79C4">
              <w:rPr>
                <w:sz w:val="20"/>
                <w:szCs w:val="20"/>
              </w:rPr>
              <w:t>- powierzchnie biologicznie czynne winny wynosić co najmniej 30% terenu.</w:t>
            </w:r>
          </w:p>
          <w:p w14:paraId="3922CFD1" w14:textId="77777777" w:rsidR="00962D9E" w:rsidRPr="00BD79C4" w:rsidRDefault="00962D9E" w:rsidP="00962D9E">
            <w:pPr>
              <w:pStyle w:val="Akapitzlist"/>
              <w:spacing w:before="30" w:after="0" w:line="240" w:lineRule="auto"/>
              <w:ind w:left="20"/>
              <w:jc w:val="both"/>
              <w:rPr>
                <w:rFonts w:cs="Arial"/>
                <w:sz w:val="20"/>
                <w:szCs w:val="20"/>
              </w:rPr>
            </w:pPr>
          </w:p>
        </w:tc>
      </w:tr>
      <w:tr w:rsidR="00BD79C4" w:rsidRPr="00BD79C4" w14:paraId="3D02055D" w14:textId="77777777">
        <w:trPr>
          <w:trHeight w:val="697"/>
        </w:trPr>
        <w:tc>
          <w:tcPr>
            <w:tcW w:w="2920" w:type="dxa"/>
            <w:vMerge/>
            <w:shd w:val="clear" w:color="auto" w:fill="D9D9D9" w:themeFill="background1" w:themeFillShade="D9"/>
          </w:tcPr>
          <w:p w14:paraId="04F6A276" w14:textId="77777777" w:rsidR="00962D9E" w:rsidRPr="00BD79C4" w:rsidRDefault="00962D9E" w:rsidP="00962D9E">
            <w:pPr>
              <w:pStyle w:val="Akapitzlist"/>
              <w:spacing w:before="40" w:after="0" w:line="240" w:lineRule="auto"/>
              <w:ind w:left="0"/>
              <w:jc w:val="both"/>
              <w:rPr>
                <w:rFonts w:cs="Arial"/>
                <w:sz w:val="20"/>
                <w:szCs w:val="20"/>
              </w:rPr>
            </w:pPr>
          </w:p>
        </w:tc>
        <w:tc>
          <w:tcPr>
            <w:tcW w:w="3099" w:type="dxa"/>
            <w:gridSpan w:val="3"/>
          </w:tcPr>
          <w:p w14:paraId="04C3439D" w14:textId="77777777" w:rsidR="00962D9E" w:rsidRPr="00BD79C4" w:rsidRDefault="00962D9E" w:rsidP="00962D9E">
            <w:pPr>
              <w:spacing w:after="0" w:line="240" w:lineRule="auto"/>
              <w:rPr>
                <w:rFonts w:cs="Arial"/>
                <w:sz w:val="20"/>
                <w:szCs w:val="20"/>
              </w:rPr>
            </w:pPr>
            <w:r w:rsidRPr="00BD79C4">
              <w:rPr>
                <w:rFonts w:cs="Arial"/>
                <w:sz w:val="20"/>
                <w:szCs w:val="20"/>
              </w:rPr>
              <w:t>Minimalna liczba miejsc do parkowania</w:t>
            </w:r>
          </w:p>
        </w:tc>
        <w:tc>
          <w:tcPr>
            <w:tcW w:w="3762" w:type="dxa"/>
            <w:gridSpan w:val="3"/>
          </w:tcPr>
          <w:p w14:paraId="5205A118" w14:textId="77777777" w:rsidR="00962D9E" w:rsidRPr="00BD79C4" w:rsidRDefault="00962D9E" w:rsidP="00962D9E">
            <w:pPr>
              <w:pStyle w:val="Akapitzlist"/>
              <w:spacing w:before="30" w:after="0" w:line="240" w:lineRule="auto"/>
              <w:ind w:left="20"/>
              <w:jc w:val="both"/>
              <w:rPr>
                <w:rFonts w:cs="Arial"/>
                <w:sz w:val="20"/>
                <w:szCs w:val="20"/>
              </w:rPr>
            </w:pPr>
            <w:r w:rsidRPr="00BD79C4">
              <w:rPr>
                <w:sz w:val="20"/>
                <w:szCs w:val="20"/>
              </w:rPr>
              <w:t>Dla każdego lokalu 1 miejsce postojowe + miejsca postojowe ogólnodostępne</w:t>
            </w:r>
          </w:p>
        </w:tc>
      </w:tr>
      <w:tr w:rsidR="00BD79C4" w:rsidRPr="00BD79C4" w14:paraId="404BECEF" w14:textId="77777777">
        <w:trPr>
          <w:trHeight w:val="697"/>
        </w:trPr>
        <w:tc>
          <w:tcPr>
            <w:tcW w:w="2920" w:type="dxa"/>
            <w:vMerge/>
            <w:shd w:val="clear" w:color="auto" w:fill="D9D9D9" w:themeFill="background1" w:themeFillShade="D9"/>
          </w:tcPr>
          <w:p w14:paraId="11948CFE" w14:textId="77777777" w:rsidR="00962D9E" w:rsidRPr="00BD79C4" w:rsidRDefault="00962D9E" w:rsidP="00962D9E">
            <w:pPr>
              <w:pStyle w:val="Akapitzlist"/>
              <w:spacing w:before="40" w:after="0" w:line="240" w:lineRule="auto"/>
              <w:ind w:left="0"/>
              <w:jc w:val="both"/>
              <w:rPr>
                <w:rFonts w:cs="Arial"/>
                <w:sz w:val="20"/>
                <w:szCs w:val="20"/>
              </w:rPr>
            </w:pPr>
          </w:p>
        </w:tc>
        <w:tc>
          <w:tcPr>
            <w:tcW w:w="3099" w:type="dxa"/>
            <w:gridSpan w:val="3"/>
          </w:tcPr>
          <w:p w14:paraId="0AF19556" w14:textId="77777777" w:rsidR="00962D9E" w:rsidRPr="00BD79C4" w:rsidRDefault="00962D9E" w:rsidP="00962D9E">
            <w:pPr>
              <w:spacing w:after="0" w:line="240" w:lineRule="auto"/>
              <w:rPr>
                <w:rFonts w:cs="Arial"/>
                <w:sz w:val="20"/>
                <w:szCs w:val="20"/>
              </w:rPr>
            </w:pPr>
            <w:r w:rsidRPr="00BD79C4">
              <w:rPr>
                <w:rFonts w:cs="Arial"/>
                <w:sz w:val="20"/>
                <w:szCs w:val="20"/>
              </w:rPr>
              <w:t>Warunki ochrony środowiska i zdrowia ludzi, przyrody i krajobrazu</w:t>
            </w:r>
          </w:p>
        </w:tc>
        <w:tc>
          <w:tcPr>
            <w:tcW w:w="3762" w:type="dxa"/>
            <w:gridSpan w:val="3"/>
          </w:tcPr>
          <w:p w14:paraId="70FACC65" w14:textId="77777777" w:rsidR="00962D9E" w:rsidRPr="00BD79C4" w:rsidRDefault="00962D9E" w:rsidP="00962D9E">
            <w:pPr>
              <w:spacing w:before="30" w:after="0" w:line="240" w:lineRule="auto"/>
              <w:jc w:val="both"/>
              <w:rPr>
                <w:rFonts w:cs="Arial"/>
                <w:sz w:val="20"/>
                <w:szCs w:val="20"/>
              </w:rPr>
            </w:pPr>
            <w:r w:rsidRPr="00BD79C4">
              <w:rPr>
                <w:rFonts w:cs="Arial"/>
                <w:sz w:val="20"/>
                <w:szCs w:val="20"/>
              </w:rPr>
              <w:t>Realizacja planowanej inwestycji nie pozbawia dostępu do drogi publicznej, możliwości korzystania z wody, kanalizacji i energii elektrycznej i cieplnej, środków łączności, a także dostępu do światła dziennego do pomieszczeń przeznaczonych na pobyt ludzi</w:t>
            </w:r>
          </w:p>
          <w:p w14:paraId="60803BD2" w14:textId="77777777" w:rsidR="00962D9E" w:rsidRPr="00BD79C4" w:rsidRDefault="00962D9E" w:rsidP="00962D9E">
            <w:pPr>
              <w:pStyle w:val="Akapitzlist"/>
              <w:numPr>
                <w:ilvl w:val="0"/>
                <w:numId w:val="3"/>
              </w:numPr>
              <w:spacing w:before="30" w:after="0" w:line="240" w:lineRule="auto"/>
              <w:jc w:val="both"/>
              <w:rPr>
                <w:rFonts w:cs="Arial"/>
                <w:sz w:val="20"/>
                <w:szCs w:val="20"/>
              </w:rPr>
            </w:pPr>
            <w:r w:rsidRPr="00BD79C4">
              <w:rPr>
                <w:rFonts w:cs="Arial"/>
                <w:sz w:val="20"/>
                <w:szCs w:val="20"/>
              </w:rPr>
              <w:t>Przedmiotowe zamierzenie nie powoduje uciążliwości wywołanych przez hałas o poziomie większym niż dla terenów przeznaczonych pod zabudowę mieszkaniową, zakłócenia elektryczne, a także nie zanieczyszcza powietrza, wody, gleby.</w:t>
            </w:r>
          </w:p>
          <w:p w14:paraId="3283CE51" w14:textId="77777777" w:rsidR="00962D9E" w:rsidRPr="00BD79C4" w:rsidRDefault="00962D9E" w:rsidP="00962D9E">
            <w:pPr>
              <w:pStyle w:val="Akapitzlist"/>
              <w:numPr>
                <w:ilvl w:val="0"/>
                <w:numId w:val="3"/>
              </w:numPr>
              <w:spacing w:before="30" w:after="0" w:line="240" w:lineRule="auto"/>
              <w:jc w:val="both"/>
              <w:rPr>
                <w:rFonts w:cs="Arial"/>
                <w:sz w:val="20"/>
                <w:szCs w:val="20"/>
              </w:rPr>
            </w:pPr>
            <w:r w:rsidRPr="00BD79C4">
              <w:rPr>
                <w:rFonts w:cs="Arial"/>
                <w:sz w:val="20"/>
                <w:szCs w:val="20"/>
              </w:rPr>
              <w:t>Wody deszczowe nie zakłócają stosunków gruntowo- wodnych na działkach sąsiednich,</w:t>
            </w:r>
          </w:p>
          <w:p w14:paraId="058EC9E7" w14:textId="77777777" w:rsidR="00962D9E" w:rsidRPr="00BD79C4" w:rsidRDefault="00962D9E" w:rsidP="00962D9E">
            <w:pPr>
              <w:pStyle w:val="Akapitzlist"/>
              <w:numPr>
                <w:ilvl w:val="0"/>
                <w:numId w:val="3"/>
              </w:numPr>
              <w:spacing w:before="30" w:after="0" w:line="240" w:lineRule="auto"/>
              <w:jc w:val="both"/>
              <w:rPr>
                <w:rFonts w:cs="Arial"/>
                <w:sz w:val="20"/>
                <w:szCs w:val="20"/>
              </w:rPr>
            </w:pPr>
            <w:r w:rsidRPr="00BD79C4">
              <w:rPr>
                <w:rFonts w:cs="Arial"/>
                <w:sz w:val="20"/>
                <w:szCs w:val="20"/>
              </w:rPr>
              <w:t>Z przedmiotowych działek usunięto drzewa, w tym 25 drzew które wymagały zgody Urzędu Gminy Łodygowice nr 165/2021</w:t>
            </w:r>
          </w:p>
          <w:p w14:paraId="51E4598A" w14:textId="77777777" w:rsidR="00962D9E" w:rsidRPr="00BD79C4" w:rsidRDefault="00962D9E" w:rsidP="00962D9E">
            <w:pPr>
              <w:pStyle w:val="Akapitzlist"/>
              <w:spacing w:before="30" w:after="0" w:line="240" w:lineRule="auto"/>
              <w:ind w:left="380"/>
              <w:jc w:val="both"/>
              <w:rPr>
                <w:rFonts w:cs="Arial"/>
                <w:sz w:val="20"/>
                <w:szCs w:val="20"/>
              </w:rPr>
            </w:pPr>
          </w:p>
        </w:tc>
      </w:tr>
      <w:tr w:rsidR="00BD79C4" w:rsidRPr="00BD79C4" w14:paraId="1B9F1695" w14:textId="77777777">
        <w:trPr>
          <w:trHeight w:val="697"/>
        </w:trPr>
        <w:tc>
          <w:tcPr>
            <w:tcW w:w="2920" w:type="dxa"/>
            <w:vMerge/>
            <w:shd w:val="clear" w:color="auto" w:fill="D9D9D9" w:themeFill="background1" w:themeFillShade="D9"/>
          </w:tcPr>
          <w:p w14:paraId="3BCD5295" w14:textId="77777777" w:rsidR="00962D9E" w:rsidRPr="00BD79C4" w:rsidRDefault="00962D9E" w:rsidP="00962D9E">
            <w:pPr>
              <w:pStyle w:val="Akapitzlist"/>
              <w:spacing w:before="40" w:after="0" w:line="240" w:lineRule="auto"/>
              <w:ind w:left="0"/>
              <w:jc w:val="both"/>
              <w:rPr>
                <w:rFonts w:cs="Arial"/>
                <w:sz w:val="20"/>
                <w:szCs w:val="20"/>
              </w:rPr>
            </w:pPr>
          </w:p>
        </w:tc>
        <w:tc>
          <w:tcPr>
            <w:tcW w:w="3099" w:type="dxa"/>
            <w:gridSpan w:val="3"/>
          </w:tcPr>
          <w:p w14:paraId="4EE5FC17" w14:textId="77777777" w:rsidR="00962D9E" w:rsidRPr="00BD79C4" w:rsidRDefault="00962D9E" w:rsidP="00962D9E">
            <w:pPr>
              <w:spacing w:after="0" w:line="240" w:lineRule="auto"/>
              <w:rPr>
                <w:rFonts w:cs="Arial"/>
                <w:sz w:val="20"/>
                <w:szCs w:val="20"/>
              </w:rPr>
            </w:pPr>
            <w:r w:rsidRPr="00BD79C4">
              <w:rPr>
                <w:rFonts w:cs="Arial"/>
                <w:sz w:val="20"/>
                <w:szCs w:val="20"/>
              </w:rPr>
              <w:t>Wymagania dotyczące zabudowy i zagospodarowania terenu położonego na obszarach szczególnego zagrożenia powodzią</w:t>
            </w:r>
          </w:p>
        </w:tc>
        <w:tc>
          <w:tcPr>
            <w:tcW w:w="3762" w:type="dxa"/>
            <w:gridSpan w:val="3"/>
          </w:tcPr>
          <w:p w14:paraId="6804CFA7" w14:textId="77777777" w:rsidR="00962D9E" w:rsidRPr="00BD79C4" w:rsidRDefault="00962D9E" w:rsidP="00962D9E">
            <w:pPr>
              <w:pStyle w:val="Akapitzlist"/>
              <w:spacing w:before="30" w:after="0" w:line="240" w:lineRule="auto"/>
              <w:ind w:left="20"/>
              <w:jc w:val="both"/>
              <w:rPr>
                <w:rFonts w:cs="Arial"/>
                <w:sz w:val="20"/>
                <w:szCs w:val="20"/>
              </w:rPr>
            </w:pPr>
            <w:r w:rsidRPr="00BD79C4">
              <w:rPr>
                <w:rFonts w:cs="Arial"/>
                <w:sz w:val="20"/>
                <w:szCs w:val="20"/>
              </w:rPr>
              <w:t>Tereny nie są objęte zagrożeniem powodziowym</w:t>
            </w:r>
          </w:p>
        </w:tc>
      </w:tr>
      <w:tr w:rsidR="00BD79C4" w:rsidRPr="00BD79C4" w14:paraId="1F0F07F6" w14:textId="77777777">
        <w:trPr>
          <w:trHeight w:val="697"/>
        </w:trPr>
        <w:tc>
          <w:tcPr>
            <w:tcW w:w="2920" w:type="dxa"/>
            <w:vMerge/>
            <w:shd w:val="clear" w:color="auto" w:fill="D9D9D9" w:themeFill="background1" w:themeFillShade="D9"/>
          </w:tcPr>
          <w:p w14:paraId="41320E99" w14:textId="77777777" w:rsidR="00962D9E" w:rsidRPr="00BD79C4" w:rsidRDefault="00962D9E" w:rsidP="00962D9E">
            <w:pPr>
              <w:pStyle w:val="Akapitzlist"/>
              <w:spacing w:before="40" w:after="0" w:line="240" w:lineRule="auto"/>
              <w:ind w:left="0"/>
              <w:jc w:val="both"/>
              <w:rPr>
                <w:rFonts w:cs="Arial"/>
                <w:sz w:val="20"/>
                <w:szCs w:val="20"/>
              </w:rPr>
            </w:pPr>
          </w:p>
        </w:tc>
        <w:tc>
          <w:tcPr>
            <w:tcW w:w="3099" w:type="dxa"/>
            <w:gridSpan w:val="3"/>
          </w:tcPr>
          <w:p w14:paraId="3866CD76" w14:textId="77777777" w:rsidR="00962D9E" w:rsidRPr="00BD79C4" w:rsidRDefault="00962D9E" w:rsidP="00962D9E">
            <w:pPr>
              <w:spacing w:after="0" w:line="240" w:lineRule="auto"/>
              <w:rPr>
                <w:rFonts w:cs="Arial"/>
                <w:sz w:val="20"/>
                <w:szCs w:val="20"/>
              </w:rPr>
            </w:pPr>
            <w:r w:rsidRPr="00BD79C4">
              <w:rPr>
                <w:rFonts w:cs="Arial"/>
                <w:sz w:val="20"/>
                <w:szCs w:val="20"/>
              </w:rPr>
              <w:t>Warunki ochrony dziedzictwa kulturowego i zabytków oraz dóbr kultury współczesnej</w:t>
            </w:r>
          </w:p>
        </w:tc>
        <w:tc>
          <w:tcPr>
            <w:tcW w:w="3762" w:type="dxa"/>
            <w:gridSpan w:val="3"/>
          </w:tcPr>
          <w:p w14:paraId="5AE50574" w14:textId="77777777" w:rsidR="00962D9E" w:rsidRPr="00BD79C4" w:rsidRDefault="00962D9E" w:rsidP="00962D9E">
            <w:pPr>
              <w:pStyle w:val="Akapitzlist"/>
              <w:spacing w:before="30" w:after="0" w:line="240" w:lineRule="auto"/>
              <w:ind w:left="20"/>
              <w:jc w:val="both"/>
              <w:rPr>
                <w:rFonts w:cs="Arial"/>
                <w:sz w:val="20"/>
                <w:szCs w:val="20"/>
              </w:rPr>
            </w:pPr>
            <w:r w:rsidRPr="00BD79C4">
              <w:rPr>
                <w:rFonts w:cs="Arial"/>
                <w:sz w:val="20"/>
                <w:szCs w:val="20"/>
              </w:rPr>
              <w:t>Na przedmiotowej inwestycji znajduje się strefa ochrony archeologicznej, oznaczona symbolem OW3, dla stanowiska archeologicznego nr 3. W obrębie strefy ochrony archeologicznej obowiązują wymagania wynikające z ustawy o ochronie zabytków i opiece nad zabytkami z dnia 23 lipca 2003 r. (</w:t>
            </w:r>
            <w:proofErr w:type="spellStart"/>
            <w:r w:rsidRPr="00BD79C4">
              <w:rPr>
                <w:rFonts w:cs="Arial"/>
                <w:sz w:val="20"/>
                <w:szCs w:val="20"/>
              </w:rPr>
              <w:t>t.j</w:t>
            </w:r>
            <w:proofErr w:type="spellEnd"/>
            <w:r w:rsidRPr="00BD79C4">
              <w:rPr>
                <w:rFonts w:cs="Arial"/>
                <w:sz w:val="20"/>
                <w:szCs w:val="20"/>
              </w:rPr>
              <w:t xml:space="preserve">. Dz.U. z 2017 r. poz. 2187 z </w:t>
            </w:r>
            <w:proofErr w:type="spellStart"/>
            <w:r w:rsidRPr="00BD79C4">
              <w:rPr>
                <w:rFonts w:cs="Arial"/>
                <w:sz w:val="20"/>
                <w:szCs w:val="20"/>
              </w:rPr>
              <w:t>późn</w:t>
            </w:r>
            <w:proofErr w:type="spellEnd"/>
            <w:r w:rsidRPr="00BD79C4">
              <w:rPr>
                <w:rFonts w:cs="Arial"/>
                <w:sz w:val="20"/>
                <w:szCs w:val="20"/>
              </w:rPr>
              <w:t>. zm.), przy czym granica strefy ochrony archeologicznej obejmuje obszar o promieniu 40 m od punktu centralnego stanowiska. Stanowisko archeologiczne oznaczone symbolem st. 3 – Łodygowice st. 3 (AZP 109/49/3) – ślad osadnictwa okres nowożytny</w:t>
            </w:r>
          </w:p>
        </w:tc>
      </w:tr>
      <w:tr w:rsidR="00BD79C4" w:rsidRPr="00BD79C4" w14:paraId="729E86E4" w14:textId="77777777">
        <w:trPr>
          <w:trHeight w:val="697"/>
        </w:trPr>
        <w:tc>
          <w:tcPr>
            <w:tcW w:w="2920" w:type="dxa"/>
            <w:vMerge/>
            <w:shd w:val="clear" w:color="auto" w:fill="D9D9D9" w:themeFill="background1" w:themeFillShade="D9"/>
          </w:tcPr>
          <w:p w14:paraId="1EB13386" w14:textId="77777777" w:rsidR="00962D9E" w:rsidRPr="00BD79C4" w:rsidRDefault="00962D9E" w:rsidP="00962D9E">
            <w:pPr>
              <w:pStyle w:val="Akapitzlist"/>
              <w:spacing w:before="40" w:after="0" w:line="240" w:lineRule="auto"/>
              <w:ind w:left="0"/>
              <w:jc w:val="both"/>
              <w:rPr>
                <w:rFonts w:cs="Arial"/>
                <w:sz w:val="20"/>
                <w:szCs w:val="20"/>
              </w:rPr>
            </w:pPr>
          </w:p>
        </w:tc>
        <w:tc>
          <w:tcPr>
            <w:tcW w:w="3099" w:type="dxa"/>
            <w:gridSpan w:val="3"/>
          </w:tcPr>
          <w:p w14:paraId="0F125647" w14:textId="77777777" w:rsidR="00962D9E" w:rsidRPr="00BD79C4" w:rsidRDefault="00962D9E" w:rsidP="00962D9E">
            <w:pPr>
              <w:spacing w:after="0" w:line="240" w:lineRule="auto"/>
              <w:rPr>
                <w:rFonts w:cs="Arial"/>
                <w:sz w:val="20"/>
                <w:szCs w:val="20"/>
              </w:rPr>
            </w:pPr>
            <w:r w:rsidRPr="00BD79C4">
              <w:rPr>
                <w:rFonts w:cs="Arial"/>
                <w:sz w:val="20"/>
                <w:szCs w:val="20"/>
              </w:rPr>
              <w:t>Wymagania dotyczące ochrony innych terenów lub obiektów podlegających ochronie na podstawie przepisów odrębnych</w:t>
            </w:r>
          </w:p>
        </w:tc>
        <w:tc>
          <w:tcPr>
            <w:tcW w:w="3762" w:type="dxa"/>
            <w:gridSpan w:val="3"/>
          </w:tcPr>
          <w:p w14:paraId="4D8496EB" w14:textId="77777777" w:rsidR="00962D9E" w:rsidRPr="00BD79C4" w:rsidRDefault="00962D9E" w:rsidP="00962D9E">
            <w:pPr>
              <w:pStyle w:val="Akapitzlist"/>
              <w:spacing w:before="30" w:after="0" w:line="240" w:lineRule="auto"/>
              <w:ind w:left="20"/>
              <w:jc w:val="both"/>
              <w:rPr>
                <w:rFonts w:cs="Arial"/>
                <w:sz w:val="20"/>
                <w:szCs w:val="20"/>
              </w:rPr>
            </w:pPr>
            <w:r w:rsidRPr="00BD79C4">
              <w:rPr>
                <w:rFonts w:cs="Arial"/>
                <w:sz w:val="20"/>
                <w:szCs w:val="20"/>
              </w:rPr>
              <w:t>Nie dotyczy</w:t>
            </w:r>
          </w:p>
        </w:tc>
      </w:tr>
      <w:tr w:rsidR="00BD79C4" w:rsidRPr="00BD79C4" w14:paraId="1FAEFBDE" w14:textId="77777777">
        <w:trPr>
          <w:trHeight w:val="697"/>
        </w:trPr>
        <w:tc>
          <w:tcPr>
            <w:tcW w:w="2920" w:type="dxa"/>
            <w:vMerge/>
            <w:shd w:val="clear" w:color="auto" w:fill="D9D9D9" w:themeFill="background1" w:themeFillShade="D9"/>
          </w:tcPr>
          <w:p w14:paraId="46A9CAA5" w14:textId="77777777" w:rsidR="00962D9E" w:rsidRPr="00BD79C4" w:rsidRDefault="00962D9E" w:rsidP="00962D9E">
            <w:pPr>
              <w:pStyle w:val="Akapitzlist"/>
              <w:spacing w:before="40" w:after="0" w:line="240" w:lineRule="auto"/>
              <w:ind w:left="0"/>
              <w:jc w:val="both"/>
              <w:rPr>
                <w:rFonts w:cs="Arial"/>
                <w:sz w:val="20"/>
                <w:szCs w:val="20"/>
              </w:rPr>
            </w:pPr>
          </w:p>
        </w:tc>
        <w:tc>
          <w:tcPr>
            <w:tcW w:w="3099" w:type="dxa"/>
            <w:gridSpan w:val="3"/>
          </w:tcPr>
          <w:p w14:paraId="7ACFF27B" w14:textId="77777777" w:rsidR="00962D9E" w:rsidRPr="00BD79C4" w:rsidRDefault="00962D9E" w:rsidP="00962D9E">
            <w:pPr>
              <w:spacing w:after="0" w:line="240" w:lineRule="auto"/>
              <w:rPr>
                <w:rFonts w:cs="Arial"/>
                <w:sz w:val="20"/>
                <w:szCs w:val="20"/>
              </w:rPr>
            </w:pPr>
            <w:r w:rsidRPr="00BD79C4">
              <w:rPr>
                <w:rFonts w:cs="Arial"/>
                <w:sz w:val="20"/>
                <w:szCs w:val="20"/>
              </w:rPr>
              <w:t>Warunki i szczegółowe zasady obsługi w zakresie komunikacji</w:t>
            </w:r>
          </w:p>
        </w:tc>
        <w:tc>
          <w:tcPr>
            <w:tcW w:w="3762" w:type="dxa"/>
            <w:gridSpan w:val="3"/>
          </w:tcPr>
          <w:p w14:paraId="16965105" w14:textId="77777777" w:rsidR="00962D9E" w:rsidRPr="00BD79C4" w:rsidRDefault="00962D9E" w:rsidP="00962D9E">
            <w:pPr>
              <w:pStyle w:val="Akapitzlist"/>
              <w:spacing w:before="30" w:after="0" w:line="240" w:lineRule="auto"/>
              <w:ind w:left="20"/>
              <w:jc w:val="both"/>
              <w:rPr>
                <w:rFonts w:cs="Arial"/>
                <w:sz w:val="20"/>
                <w:szCs w:val="20"/>
              </w:rPr>
            </w:pPr>
            <w:r w:rsidRPr="00BD79C4">
              <w:rPr>
                <w:rFonts w:cs="Arial"/>
                <w:sz w:val="20"/>
                <w:szCs w:val="20"/>
              </w:rPr>
              <w:t>Obszar obsługiwany jest przez system dróg publicznych oznaczonych symbolami 6KDL, 7KDL, 8KDL, 9KDL, 40KDD i 60KDD</w:t>
            </w:r>
          </w:p>
        </w:tc>
      </w:tr>
      <w:tr w:rsidR="00BD79C4" w:rsidRPr="00BD79C4" w14:paraId="186D30B9" w14:textId="77777777">
        <w:trPr>
          <w:trHeight w:val="697"/>
        </w:trPr>
        <w:tc>
          <w:tcPr>
            <w:tcW w:w="2920" w:type="dxa"/>
            <w:vMerge/>
            <w:shd w:val="clear" w:color="auto" w:fill="D9D9D9" w:themeFill="background1" w:themeFillShade="D9"/>
          </w:tcPr>
          <w:p w14:paraId="17013F54" w14:textId="77777777" w:rsidR="00962D9E" w:rsidRPr="00BD79C4" w:rsidRDefault="00962D9E" w:rsidP="00962D9E">
            <w:pPr>
              <w:pStyle w:val="Akapitzlist"/>
              <w:spacing w:before="40" w:after="0" w:line="240" w:lineRule="auto"/>
              <w:ind w:left="0"/>
              <w:jc w:val="both"/>
              <w:rPr>
                <w:rFonts w:cs="Arial"/>
                <w:sz w:val="20"/>
                <w:szCs w:val="20"/>
              </w:rPr>
            </w:pPr>
          </w:p>
        </w:tc>
        <w:tc>
          <w:tcPr>
            <w:tcW w:w="3099" w:type="dxa"/>
            <w:gridSpan w:val="3"/>
          </w:tcPr>
          <w:p w14:paraId="25E73E87" w14:textId="77777777" w:rsidR="00962D9E" w:rsidRPr="00BD79C4" w:rsidRDefault="00962D9E" w:rsidP="00962D9E">
            <w:pPr>
              <w:spacing w:after="0" w:line="240" w:lineRule="auto"/>
              <w:rPr>
                <w:rFonts w:cs="Arial"/>
                <w:sz w:val="20"/>
                <w:szCs w:val="20"/>
              </w:rPr>
            </w:pPr>
            <w:r w:rsidRPr="00BD79C4">
              <w:rPr>
                <w:rFonts w:cs="Arial"/>
                <w:sz w:val="20"/>
                <w:szCs w:val="20"/>
              </w:rPr>
              <w:t>Warunki i szczegółowe zasady obsługi w zakresie infrastruktury technicznej</w:t>
            </w:r>
          </w:p>
        </w:tc>
        <w:tc>
          <w:tcPr>
            <w:tcW w:w="3762" w:type="dxa"/>
            <w:gridSpan w:val="3"/>
          </w:tcPr>
          <w:p w14:paraId="33567FAF" w14:textId="77777777" w:rsidR="00962D9E" w:rsidRPr="00BD79C4" w:rsidRDefault="00962D9E" w:rsidP="00962D9E">
            <w:pPr>
              <w:pStyle w:val="Akapitzlist"/>
              <w:spacing w:before="30" w:after="0" w:line="240" w:lineRule="auto"/>
              <w:ind w:left="20"/>
              <w:jc w:val="both"/>
              <w:rPr>
                <w:rFonts w:cs="Arial"/>
                <w:sz w:val="20"/>
                <w:szCs w:val="20"/>
              </w:rPr>
            </w:pPr>
            <w:r w:rsidRPr="00BD79C4">
              <w:rPr>
                <w:rFonts w:cs="Arial"/>
                <w:sz w:val="20"/>
                <w:szCs w:val="20"/>
              </w:rPr>
              <w:t>Przedmiotowa inwestycja znajduje się na terenie uzbrojonym w następujące media: wodociąg, kanalizację sanitarną , energię elektryczną.</w:t>
            </w:r>
          </w:p>
        </w:tc>
      </w:tr>
      <w:tr w:rsidR="00BD79C4" w:rsidRPr="00BD79C4" w14:paraId="295ABBE8" w14:textId="77777777">
        <w:trPr>
          <w:trHeight w:val="697"/>
        </w:trPr>
        <w:tc>
          <w:tcPr>
            <w:tcW w:w="2920" w:type="dxa"/>
            <w:vMerge w:val="restart"/>
            <w:shd w:val="clear" w:color="auto" w:fill="D9D9D9" w:themeFill="background1" w:themeFillShade="D9"/>
          </w:tcPr>
          <w:p w14:paraId="2FF2DC02" w14:textId="77777777" w:rsidR="00962D9E" w:rsidRPr="00BD79C4" w:rsidRDefault="00962D9E" w:rsidP="00962D9E">
            <w:pPr>
              <w:pStyle w:val="Akapitzlist"/>
              <w:spacing w:before="40" w:after="0" w:line="240" w:lineRule="auto"/>
              <w:ind w:left="0"/>
              <w:jc w:val="both"/>
              <w:rPr>
                <w:rFonts w:cs="Arial"/>
                <w:sz w:val="20"/>
                <w:szCs w:val="20"/>
              </w:rPr>
            </w:pPr>
            <w:r w:rsidRPr="00BD79C4">
              <w:rPr>
                <w:rFonts w:cs="Arial"/>
                <w:sz w:val="20"/>
                <w:szCs w:val="20"/>
              </w:rPr>
              <w:t>Ustalenia obowiązującego miejscowego planu zagospodarowania przestrzennego dla działek lub ich fragmentów znajdujących się w odległości do 100 m od granicy terenu objętego przedsięwzięciem deweloperskim lub zadaniem inwestycyjnym</w:t>
            </w:r>
            <w:r w:rsidRPr="00BD79C4">
              <w:rPr>
                <w:rStyle w:val="Odwoanieprzypisudolnego"/>
                <w:rFonts w:cs="Arial"/>
                <w:sz w:val="20"/>
                <w:szCs w:val="20"/>
              </w:rPr>
              <w:footnoteReference w:id="5"/>
            </w:r>
          </w:p>
        </w:tc>
        <w:tc>
          <w:tcPr>
            <w:tcW w:w="3099" w:type="dxa"/>
            <w:gridSpan w:val="3"/>
          </w:tcPr>
          <w:p w14:paraId="12EF186A" w14:textId="77777777" w:rsidR="00962D9E" w:rsidRPr="00BD79C4" w:rsidRDefault="00962D9E" w:rsidP="00962D9E">
            <w:pPr>
              <w:pStyle w:val="Akapitzlist"/>
              <w:spacing w:before="120" w:after="0" w:line="240" w:lineRule="auto"/>
              <w:ind w:left="0"/>
              <w:jc w:val="both"/>
              <w:rPr>
                <w:rFonts w:cs="Arial"/>
                <w:sz w:val="20"/>
                <w:szCs w:val="20"/>
              </w:rPr>
            </w:pPr>
            <w:r w:rsidRPr="00BD79C4">
              <w:rPr>
                <w:rFonts w:cs="Arial"/>
                <w:sz w:val="20"/>
                <w:szCs w:val="20"/>
              </w:rPr>
              <w:t>Przeznaczenie w terenie</w:t>
            </w:r>
          </w:p>
        </w:tc>
        <w:tc>
          <w:tcPr>
            <w:tcW w:w="3762" w:type="dxa"/>
            <w:gridSpan w:val="3"/>
          </w:tcPr>
          <w:p w14:paraId="79884C42" w14:textId="77777777" w:rsidR="00962D9E" w:rsidRPr="00BD79C4" w:rsidRDefault="00962D9E" w:rsidP="00962D9E">
            <w:pPr>
              <w:pStyle w:val="Akapitzlist"/>
              <w:spacing w:before="30" w:after="0" w:line="240" w:lineRule="auto"/>
              <w:ind w:left="20"/>
              <w:jc w:val="both"/>
              <w:rPr>
                <w:rFonts w:cs="Arial"/>
                <w:sz w:val="20"/>
                <w:szCs w:val="20"/>
              </w:rPr>
            </w:pPr>
            <w:r w:rsidRPr="00BD79C4">
              <w:rPr>
                <w:rFonts w:cs="Arial"/>
                <w:sz w:val="20"/>
                <w:szCs w:val="20"/>
              </w:rPr>
              <w:t>Zgodnie z ww. miejscowym planem zagospodarowania przestrzennego w bezpośrednim sąsiedztwie przedmiotowej inwestycji znajdują się tereny oznaczone symbolami:</w:t>
            </w:r>
          </w:p>
          <w:p w14:paraId="7CE27131" w14:textId="77777777" w:rsidR="00962D9E" w:rsidRPr="00BD79C4" w:rsidRDefault="00962D9E" w:rsidP="00962D9E">
            <w:pPr>
              <w:spacing w:after="0"/>
              <w:ind w:hanging="28"/>
              <w:rPr>
                <w:rFonts w:cs="Arial"/>
                <w:sz w:val="20"/>
                <w:szCs w:val="20"/>
              </w:rPr>
            </w:pPr>
            <w:r w:rsidRPr="00BD79C4">
              <w:rPr>
                <w:rFonts w:cs="Arial"/>
                <w:b/>
                <w:bCs/>
                <w:sz w:val="20"/>
                <w:szCs w:val="20"/>
              </w:rPr>
              <w:t>96MN</w:t>
            </w:r>
            <w:r w:rsidRPr="00BD79C4">
              <w:rPr>
                <w:rFonts w:cs="Arial"/>
                <w:sz w:val="20"/>
                <w:szCs w:val="20"/>
              </w:rPr>
              <w:t xml:space="preserve"> – tereny zabudowy mieszkaniowej jednorodzinnej,</w:t>
            </w:r>
          </w:p>
          <w:p w14:paraId="161D5053" w14:textId="77777777" w:rsidR="00962D9E" w:rsidRPr="00BD79C4" w:rsidRDefault="00962D9E" w:rsidP="00962D9E">
            <w:pPr>
              <w:spacing w:after="0"/>
              <w:ind w:hanging="28"/>
              <w:rPr>
                <w:rFonts w:cs="Arial"/>
                <w:sz w:val="20"/>
                <w:szCs w:val="20"/>
              </w:rPr>
            </w:pPr>
            <w:r w:rsidRPr="00BD79C4">
              <w:rPr>
                <w:rFonts w:cs="Arial"/>
                <w:b/>
                <w:bCs/>
                <w:sz w:val="20"/>
                <w:szCs w:val="20"/>
              </w:rPr>
              <w:t>100ZE</w:t>
            </w:r>
            <w:r w:rsidRPr="00BD79C4">
              <w:rPr>
                <w:rFonts w:cs="Arial"/>
                <w:sz w:val="20"/>
                <w:szCs w:val="20"/>
              </w:rPr>
              <w:t xml:space="preserve"> – tereny zieleni o znaczeniu ekologicznym,</w:t>
            </w:r>
          </w:p>
          <w:p w14:paraId="7D9F4CCD" w14:textId="77777777" w:rsidR="00962D9E" w:rsidRPr="00BD79C4" w:rsidRDefault="00962D9E" w:rsidP="00962D9E">
            <w:pPr>
              <w:spacing w:after="0"/>
              <w:ind w:hanging="28"/>
              <w:rPr>
                <w:rFonts w:cs="Arial"/>
                <w:sz w:val="20"/>
                <w:szCs w:val="20"/>
              </w:rPr>
            </w:pPr>
            <w:r w:rsidRPr="00BD79C4">
              <w:rPr>
                <w:rFonts w:cs="Arial"/>
                <w:b/>
                <w:bCs/>
                <w:sz w:val="20"/>
                <w:szCs w:val="20"/>
              </w:rPr>
              <w:t>35WS</w:t>
            </w:r>
            <w:r w:rsidRPr="00BD79C4">
              <w:rPr>
                <w:rFonts w:cs="Arial"/>
                <w:sz w:val="20"/>
                <w:szCs w:val="20"/>
              </w:rPr>
              <w:t xml:space="preserve"> – tereny wód powierzchniowych śródlądowych,</w:t>
            </w:r>
          </w:p>
          <w:p w14:paraId="63524DB4" w14:textId="77777777" w:rsidR="00962D9E" w:rsidRPr="00BD79C4" w:rsidRDefault="00962D9E" w:rsidP="00962D9E">
            <w:pPr>
              <w:spacing w:after="0"/>
              <w:ind w:hanging="28"/>
              <w:rPr>
                <w:rFonts w:cs="Arial"/>
                <w:sz w:val="20"/>
                <w:szCs w:val="20"/>
              </w:rPr>
            </w:pPr>
            <w:r w:rsidRPr="00BD79C4">
              <w:rPr>
                <w:rFonts w:cs="Arial"/>
                <w:b/>
                <w:bCs/>
                <w:sz w:val="20"/>
                <w:szCs w:val="20"/>
              </w:rPr>
              <w:t>40ZL</w:t>
            </w:r>
            <w:r w:rsidRPr="00BD79C4">
              <w:rPr>
                <w:rFonts w:cs="Arial"/>
                <w:sz w:val="20"/>
                <w:szCs w:val="20"/>
              </w:rPr>
              <w:t xml:space="preserve"> – tereny lasów,</w:t>
            </w:r>
          </w:p>
          <w:p w14:paraId="677BEEB2" w14:textId="77777777" w:rsidR="00962D9E" w:rsidRPr="00BD79C4" w:rsidRDefault="00962D9E" w:rsidP="00962D9E">
            <w:pPr>
              <w:spacing w:after="0"/>
              <w:ind w:hanging="28"/>
              <w:rPr>
                <w:rFonts w:cs="Arial"/>
                <w:sz w:val="20"/>
                <w:szCs w:val="20"/>
              </w:rPr>
            </w:pPr>
            <w:r w:rsidRPr="00BD79C4">
              <w:rPr>
                <w:rFonts w:cs="Arial"/>
                <w:b/>
                <w:bCs/>
                <w:sz w:val="20"/>
                <w:szCs w:val="20"/>
              </w:rPr>
              <w:t>9KDL</w:t>
            </w:r>
            <w:r w:rsidRPr="00BD79C4">
              <w:rPr>
                <w:rFonts w:cs="Arial"/>
                <w:sz w:val="20"/>
                <w:szCs w:val="20"/>
              </w:rPr>
              <w:t xml:space="preserve"> – tereny dróg publicznych klas: droga lokalna,</w:t>
            </w:r>
          </w:p>
          <w:p w14:paraId="1881099E" w14:textId="77777777" w:rsidR="00962D9E" w:rsidRPr="00BD79C4" w:rsidRDefault="00962D9E" w:rsidP="00962D9E">
            <w:pPr>
              <w:spacing w:after="0"/>
              <w:ind w:hanging="28"/>
              <w:rPr>
                <w:rFonts w:cs="Arial"/>
                <w:sz w:val="20"/>
                <w:szCs w:val="20"/>
              </w:rPr>
            </w:pPr>
            <w:r w:rsidRPr="00BD79C4">
              <w:rPr>
                <w:rFonts w:cs="Arial"/>
                <w:b/>
                <w:bCs/>
                <w:sz w:val="20"/>
                <w:szCs w:val="20"/>
              </w:rPr>
              <w:t xml:space="preserve">36MU </w:t>
            </w:r>
            <w:r w:rsidRPr="00BD79C4">
              <w:rPr>
                <w:rFonts w:cs="Arial"/>
                <w:sz w:val="20"/>
                <w:szCs w:val="20"/>
              </w:rPr>
              <w:t>– tereny zabudowy mieszkaniowo-usługowej.</w:t>
            </w:r>
          </w:p>
        </w:tc>
      </w:tr>
      <w:tr w:rsidR="00BD79C4" w:rsidRPr="00BD79C4" w14:paraId="30CC4E08" w14:textId="77777777">
        <w:trPr>
          <w:trHeight w:val="697"/>
        </w:trPr>
        <w:tc>
          <w:tcPr>
            <w:tcW w:w="2920" w:type="dxa"/>
            <w:vMerge/>
            <w:shd w:val="clear" w:color="auto" w:fill="D9D9D9" w:themeFill="background1" w:themeFillShade="D9"/>
          </w:tcPr>
          <w:p w14:paraId="18E76E07" w14:textId="77777777" w:rsidR="00962D9E" w:rsidRPr="00BD79C4" w:rsidRDefault="00962D9E" w:rsidP="00962D9E">
            <w:pPr>
              <w:pStyle w:val="Akapitzlist"/>
              <w:spacing w:before="40" w:after="0" w:line="240" w:lineRule="auto"/>
              <w:ind w:left="0"/>
              <w:jc w:val="both"/>
              <w:rPr>
                <w:rFonts w:cs="Arial"/>
                <w:sz w:val="20"/>
                <w:szCs w:val="20"/>
              </w:rPr>
            </w:pPr>
          </w:p>
        </w:tc>
        <w:tc>
          <w:tcPr>
            <w:tcW w:w="3099" w:type="dxa"/>
            <w:gridSpan w:val="3"/>
          </w:tcPr>
          <w:p w14:paraId="0174C59C" w14:textId="77777777" w:rsidR="00962D9E" w:rsidRPr="00BD79C4" w:rsidRDefault="00962D9E" w:rsidP="00962D9E">
            <w:pPr>
              <w:pStyle w:val="Akapitzlist"/>
              <w:spacing w:before="120" w:after="0" w:line="240" w:lineRule="auto"/>
              <w:ind w:left="0"/>
              <w:jc w:val="both"/>
              <w:rPr>
                <w:rFonts w:cs="Arial"/>
                <w:sz w:val="20"/>
                <w:szCs w:val="20"/>
              </w:rPr>
            </w:pPr>
            <w:r w:rsidRPr="00BD79C4">
              <w:rPr>
                <w:rFonts w:cs="Arial"/>
                <w:sz w:val="20"/>
                <w:szCs w:val="20"/>
              </w:rPr>
              <w:t>Maksymalna  intensywność zabudowy.</w:t>
            </w:r>
          </w:p>
        </w:tc>
        <w:tc>
          <w:tcPr>
            <w:tcW w:w="3762" w:type="dxa"/>
            <w:gridSpan w:val="3"/>
          </w:tcPr>
          <w:p w14:paraId="77CD9496" w14:textId="77777777" w:rsidR="00962D9E" w:rsidRPr="00BD79C4" w:rsidRDefault="00962D9E" w:rsidP="00962D9E">
            <w:pPr>
              <w:pStyle w:val="Akapitzlist"/>
              <w:spacing w:before="30" w:after="0" w:line="240" w:lineRule="auto"/>
              <w:ind w:left="0"/>
              <w:rPr>
                <w:sz w:val="20"/>
                <w:szCs w:val="20"/>
              </w:rPr>
            </w:pPr>
            <w:r w:rsidRPr="00BD79C4">
              <w:rPr>
                <w:sz w:val="20"/>
                <w:szCs w:val="20"/>
              </w:rPr>
              <w:t>Ustala się dla terenów o symbolu:</w:t>
            </w:r>
          </w:p>
          <w:p w14:paraId="24CA3110" w14:textId="77777777" w:rsidR="00962D9E" w:rsidRPr="00BD79C4" w:rsidRDefault="00962D9E" w:rsidP="00962D9E">
            <w:pPr>
              <w:pStyle w:val="Akapitzlist"/>
              <w:spacing w:before="30" w:after="0" w:line="240" w:lineRule="auto"/>
              <w:ind w:left="0"/>
              <w:rPr>
                <w:sz w:val="20"/>
                <w:szCs w:val="20"/>
              </w:rPr>
            </w:pPr>
            <w:r w:rsidRPr="00BD79C4">
              <w:rPr>
                <w:rFonts w:cs="Arial"/>
                <w:b/>
                <w:bCs/>
                <w:sz w:val="20"/>
                <w:szCs w:val="20"/>
              </w:rPr>
              <w:t xml:space="preserve">96MN: </w:t>
            </w:r>
            <w:r w:rsidRPr="00BD79C4">
              <w:rPr>
                <w:rFonts w:cs="Arial"/>
                <w:sz w:val="20"/>
                <w:szCs w:val="20"/>
              </w:rPr>
              <w:t xml:space="preserve">- </w:t>
            </w:r>
            <w:r w:rsidRPr="00BD79C4">
              <w:rPr>
                <w:sz w:val="20"/>
                <w:szCs w:val="20"/>
              </w:rPr>
              <w:t>powierzchnia zabudowy nie może przekraczać 60% powierzchni działki budowlanej.</w:t>
            </w:r>
          </w:p>
          <w:p w14:paraId="7BC8E77C" w14:textId="77777777" w:rsidR="00962D9E" w:rsidRPr="00BD79C4" w:rsidRDefault="00962D9E" w:rsidP="00962D9E">
            <w:pPr>
              <w:pStyle w:val="Akapitzlist"/>
              <w:spacing w:before="30" w:after="0" w:line="240" w:lineRule="auto"/>
              <w:ind w:left="0"/>
              <w:rPr>
                <w:sz w:val="20"/>
                <w:szCs w:val="20"/>
              </w:rPr>
            </w:pPr>
            <w:r w:rsidRPr="00BD79C4">
              <w:rPr>
                <w:b/>
                <w:bCs/>
                <w:sz w:val="20"/>
                <w:szCs w:val="20"/>
              </w:rPr>
              <w:t>36MU:</w:t>
            </w:r>
            <w:r w:rsidRPr="00BD79C4">
              <w:rPr>
                <w:sz w:val="20"/>
                <w:szCs w:val="20"/>
              </w:rPr>
              <w:t xml:space="preserve"> - wielkość powierzchni zabudowy w stosunku do powierzchni działki budowlanej: maks. 60%</w:t>
            </w:r>
          </w:p>
          <w:p w14:paraId="6565747C" w14:textId="77777777" w:rsidR="00962D9E" w:rsidRPr="00BD79C4" w:rsidRDefault="00962D9E" w:rsidP="00962D9E">
            <w:pPr>
              <w:pStyle w:val="Akapitzlist"/>
              <w:spacing w:before="30" w:after="0" w:line="240" w:lineRule="auto"/>
              <w:ind w:left="0"/>
              <w:rPr>
                <w:rFonts w:cs="Arial"/>
                <w:sz w:val="20"/>
                <w:szCs w:val="20"/>
              </w:rPr>
            </w:pPr>
            <w:r w:rsidRPr="00BD79C4">
              <w:rPr>
                <w:rFonts w:cs="Arial"/>
                <w:b/>
                <w:bCs/>
                <w:sz w:val="20"/>
                <w:szCs w:val="20"/>
              </w:rPr>
              <w:t>100ZE:</w:t>
            </w:r>
            <w:r w:rsidRPr="00BD79C4">
              <w:rPr>
                <w:rFonts w:cs="Arial"/>
                <w:sz w:val="20"/>
                <w:szCs w:val="20"/>
              </w:rPr>
              <w:t xml:space="preserve"> udział procentowy powierzchni biologicznie czynnej w odniesieniu do powierzchni działki budowlanej: min. 80%.</w:t>
            </w:r>
          </w:p>
          <w:p w14:paraId="00329D61" w14:textId="77777777" w:rsidR="00962D9E" w:rsidRPr="00BD79C4" w:rsidRDefault="00962D9E" w:rsidP="00962D9E">
            <w:pPr>
              <w:pStyle w:val="Akapitzlist"/>
              <w:spacing w:before="30" w:after="0" w:line="240" w:lineRule="auto"/>
              <w:ind w:left="20"/>
              <w:jc w:val="both"/>
              <w:rPr>
                <w:rFonts w:cs="Arial"/>
                <w:sz w:val="20"/>
                <w:szCs w:val="20"/>
              </w:rPr>
            </w:pPr>
            <w:r w:rsidRPr="00BD79C4">
              <w:rPr>
                <w:rFonts w:cs="Arial"/>
                <w:sz w:val="20"/>
                <w:szCs w:val="20"/>
              </w:rPr>
              <w:t xml:space="preserve">Dla terenu o symbolu </w:t>
            </w:r>
            <w:r w:rsidRPr="00BD79C4">
              <w:rPr>
                <w:rFonts w:cs="Arial"/>
                <w:b/>
                <w:bCs/>
                <w:sz w:val="20"/>
                <w:szCs w:val="20"/>
              </w:rPr>
              <w:t>35WS, 40ZL, 9KDL</w:t>
            </w:r>
            <w:r w:rsidRPr="00BD79C4">
              <w:rPr>
                <w:rFonts w:cs="Arial"/>
                <w:sz w:val="20"/>
                <w:szCs w:val="20"/>
              </w:rPr>
              <w:t>: nie dotyczy</w:t>
            </w:r>
          </w:p>
        </w:tc>
      </w:tr>
      <w:tr w:rsidR="00BD79C4" w:rsidRPr="00BD79C4" w14:paraId="7612A710" w14:textId="77777777">
        <w:trPr>
          <w:trHeight w:val="697"/>
        </w:trPr>
        <w:tc>
          <w:tcPr>
            <w:tcW w:w="2920" w:type="dxa"/>
            <w:vMerge/>
            <w:shd w:val="clear" w:color="auto" w:fill="D9D9D9" w:themeFill="background1" w:themeFillShade="D9"/>
          </w:tcPr>
          <w:p w14:paraId="28DA60CD" w14:textId="77777777" w:rsidR="00962D9E" w:rsidRPr="00BD79C4" w:rsidRDefault="00962D9E" w:rsidP="00962D9E">
            <w:pPr>
              <w:pStyle w:val="Akapitzlist"/>
              <w:spacing w:before="40" w:after="0" w:line="240" w:lineRule="auto"/>
              <w:ind w:left="0"/>
              <w:jc w:val="both"/>
              <w:rPr>
                <w:rFonts w:cs="Arial"/>
                <w:sz w:val="20"/>
                <w:szCs w:val="20"/>
              </w:rPr>
            </w:pPr>
          </w:p>
        </w:tc>
        <w:tc>
          <w:tcPr>
            <w:tcW w:w="3099" w:type="dxa"/>
            <w:gridSpan w:val="3"/>
          </w:tcPr>
          <w:p w14:paraId="5CC05CCE" w14:textId="77777777" w:rsidR="00962D9E" w:rsidRPr="00BD79C4" w:rsidRDefault="00962D9E" w:rsidP="00962D9E">
            <w:pPr>
              <w:pStyle w:val="Akapitzlist"/>
              <w:spacing w:before="120" w:after="0" w:line="240" w:lineRule="auto"/>
              <w:ind w:left="0"/>
              <w:jc w:val="both"/>
              <w:rPr>
                <w:rFonts w:cs="Arial"/>
                <w:sz w:val="20"/>
                <w:szCs w:val="20"/>
              </w:rPr>
            </w:pPr>
            <w:r w:rsidRPr="00BD79C4">
              <w:rPr>
                <w:rFonts w:cs="Arial"/>
                <w:sz w:val="20"/>
                <w:szCs w:val="20"/>
              </w:rPr>
              <w:t>Maksymalna i minimalna intensywność zabudowy.</w:t>
            </w:r>
          </w:p>
        </w:tc>
        <w:tc>
          <w:tcPr>
            <w:tcW w:w="3762" w:type="dxa"/>
            <w:gridSpan w:val="3"/>
          </w:tcPr>
          <w:p w14:paraId="5AB53DD9" w14:textId="77777777" w:rsidR="00962D9E" w:rsidRPr="00BD79C4" w:rsidRDefault="00962D9E" w:rsidP="00962D9E">
            <w:pPr>
              <w:pStyle w:val="Akapitzlist"/>
              <w:spacing w:before="30" w:after="0" w:line="240" w:lineRule="auto"/>
              <w:ind w:left="0"/>
              <w:rPr>
                <w:sz w:val="20"/>
                <w:szCs w:val="20"/>
              </w:rPr>
            </w:pPr>
            <w:r w:rsidRPr="00BD79C4">
              <w:rPr>
                <w:sz w:val="20"/>
                <w:szCs w:val="20"/>
              </w:rPr>
              <w:t>Nie dotyczy</w:t>
            </w:r>
          </w:p>
        </w:tc>
      </w:tr>
      <w:tr w:rsidR="00BD79C4" w:rsidRPr="00BD79C4" w14:paraId="4661AC34" w14:textId="77777777">
        <w:trPr>
          <w:trHeight w:val="697"/>
        </w:trPr>
        <w:tc>
          <w:tcPr>
            <w:tcW w:w="2920" w:type="dxa"/>
            <w:vMerge/>
            <w:shd w:val="clear" w:color="auto" w:fill="D9D9D9" w:themeFill="background1" w:themeFillShade="D9"/>
          </w:tcPr>
          <w:p w14:paraId="44A00CF8" w14:textId="77777777" w:rsidR="00962D9E" w:rsidRPr="00BD79C4" w:rsidRDefault="00962D9E" w:rsidP="00962D9E">
            <w:pPr>
              <w:pStyle w:val="Akapitzlist"/>
              <w:spacing w:before="40" w:after="0" w:line="240" w:lineRule="auto"/>
              <w:ind w:left="0"/>
              <w:jc w:val="both"/>
              <w:rPr>
                <w:rFonts w:cs="Arial"/>
                <w:sz w:val="20"/>
                <w:szCs w:val="20"/>
              </w:rPr>
            </w:pPr>
          </w:p>
        </w:tc>
        <w:tc>
          <w:tcPr>
            <w:tcW w:w="3099" w:type="dxa"/>
            <w:gridSpan w:val="3"/>
          </w:tcPr>
          <w:p w14:paraId="4B1E5F2F" w14:textId="77777777" w:rsidR="00962D9E" w:rsidRPr="00BD79C4" w:rsidRDefault="00962D9E" w:rsidP="00962D9E">
            <w:pPr>
              <w:pStyle w:val="Akapitzlist"/>
              <w:spacing w:before="120" w:after="0" w:line="240" w:lineRule="auto"/>
              <w:ind w:left="0"/>
              <w:jc w:val="both"/>
              <w:rPr>
                <w:rFonts w:cs="Arial"/>
                <w:sz w:val="20"/>
                <w:szCs w:val="20"/>
              </w:rPr>
            </w:pPr>
            <w:r w:rsidRPr="00BD79C4">
              <w:rPr>
                <w:rFonts w:cs="Arial"/>
                <w:sz w:val="20"/>
                <w:szCs w:val="20"/>
              </w:rPr>
              <w:t>Maksymalna powierzchnia zabudowy</w:t>
            </w:r>
          </w:p>
        </w:tc>
        <w:tc>
          <w:tcPr>
            <w:tcW w:w="3762" w:type="dxa"/>
            <w:gridSpan w:val="3"/>
          </w:tcPr>
          <w:p w14:paraId="673666CA" w14:textId="77777777" w:rsidR="00962D9E" w:rsidRPr="00BD79C4" w:rsidRDefault="00962D9E" w:rsidP="00962D9E">
            <w:pPr>
              <w:pStyle w:val="Akapitzlist"/>
              <w:spacing w:before="30" w:after="0" w:line="240" w:lineRule="auto"/>
              <w:ind w:left="0"/>
              <w:rPr>
                <w:sz w:val="20"/>
                <w:szCs w:val="20"/>
              </w:rPr>
            </w:pPr>
            <w:r w:rsidRPr="00BD79C4">
              <w:rPr>
                <w:sz w:val="20"/>
                <w:szCs w:val="20"/>
              </w:rPr>
              <w:t>Powierzchnia  nowo wydzielanych działek budowlanych dla:</w:t>
            </w:r>
          </w:p>
          <w:p w14:paraId="2D122F9F" w14:textId="77777777" w:rsidR="00962D9E" w:rsidRPr="00BD79C4" w:rsidRDefault="00962D9E" w:rsidP="00962D9E">
            <w:pPr>
              <w:pStyle w:val="Akapitzlist"/>
              <w:numPr>
                <w:ilvl w:val="0"/>
                <w:numId w:val="2"/>
              </w:numPr>
              <w:spacing w:before="30" w:after="0" w:line="240" w:lineRule="auto"/>
              <w:rPr>
                <w:sz w:val="20"/>
                <w:szCs w:val="20"/>
              </w:rPr>
            </w:pPr>
            <w:r w:rsidRPr="00BD79C4">
              <w:rPr>
                <w:sz w:val="20"/>
                <w:szCs w:val="20"/>
              </w:rPr>
              <w:t>Zabudowy mieszkaniowej jednorodzinnej wolnostojącej : min. 600 m</w:t>
            </w:r>
            <w:r w:rsidRPr="00BD79C4">
              <w:rPr>
                <w:rFonts w:ascii="Calibri" w:hAnsi="Calibri" w:cs="Calibri"/>
                <w:sz w:val="20"/>
                <w:szCs w:val="20"/>
              </w:rPr>
              <w:t>²</w:t>
            </w:r>
          </w:p>
          <w:p w14:paraId="2DB9B13E" w14:textId="77777777" w:rsidR="00962D9E" w:rsidRPr="00BD79C4" w:rsidRDefault="00962D9E" w:rsidP="00962D9E">
            <w:pPr>
              <w:pStyle w:val="Akapitzlist"/>
              <w:numPr>
                <w:ilvl w:val="0"/>
                <w:numId w:val="2"/>
              </w:numPr>
              <w:spacing w:before="30" w:after="0" w:line="240" w:lineRule="auto"/>
              <w:rPr>
                <w:sz w:val="20"/>
                <w:szCs w:val="20"/>
              </w:rPr>
            </w:pPr>
            <w:r w:rsidRPr="00BD79C4">
              <w:rPr>
                <w:sz w:val="20"/>
                <w:szCs w:val="20"/>
              </w:rPr>
              <w:t>Zabudowy mieszkaniowej jednorodzinnej bliźniaczej : min. 450 m</w:t>
            </w:r>
            <w:r w:rsidRPr="00BD79C4">
              <w:rPr>
                <w:rFonts w:ascii="Calibri" w:hAnsi="Calibri" w:cs="Calibri"/>
                <w:sz w:val="20"/>
                <w:szCs w:val="20"/>
              </w:rPr>
              <w:t>²</w:t>
            </w:r>
          </w:p>
          <w:p w14:paraId="47D16021" w14:textId="77777777" w:rsidR="00962D9E" w:rsidRPr="00BD79C4" w:rsidRDefault="00962D9E" w:rsidP="00962D9E">
            <w:pPr>
              <w:pStyle w:val="Akapitzlist"/>
              <w:numPr>
                <w:ilvl w:val="0"/>
                <w:numId w:val="2"/>
              </w:numPr>
              <w:spacing w:before="30" w:after="0" w:line="240" w:lineRule="auto"/>
              <w:rPr>
                <w:sz w:val="20"/>
                <w:szCs w:val="20"/>
              </w:rPr>
            </w:pPr>
            <w:r w:rsidRPr="00BD79C4">
              <w:rPr>
                <w:sz w:val="20"/>
                <w:szCs w:val="20"/>
              </w:rPr>
              <w:t>Zabudowy mieszkaniowej jednorodzinnej z funkcją usługową: min 600 m</w:t>
            </w:r>
            <w:r w:rsidRPr="00BD79C4">
              <w:rPr>
                <w:rFonts w:ascii="Calibri" w:hAnsi="Calibri" w:cs="Calibri"/>
                <w:sz w:val="20"/>
                <w:szCs w:val="20"/>
              </w:rPr>
              <w:t>²</w:t>
            </w:r>
          </w:p>
        </w:tc>
      </w:tr>
      <w:tr w:rsidR="00BD79C4" w:rsidRPr="00BD79C4" w14:paraId="46ADBDE5" w14:textId="77777777">
        <w:trPr>
          <w:trHeight w:val="697"/>
        </w:trPr>
        <w:tc>
          <w:tcPr>
            <w:tcW w:w="2920" w:type="dxa"/>
            <w:vMerge/>
            <w:shd w:val="clear" w:color="auto" w:fill="D9D9D9" w:themeFill="background1" w:themeFillShade="D9"/>
          </w:tcPr>
          <w:p w14:paraId="2C18150B" w14:textId="77777777" w:rsidR="00962D9E" w:rsidRPr="00BD79C4" w:rsidRDefault="00962D9E" w:rsidP="00962D9E">
            <w:pPr>
              <w:pStyle w:val="Akapitzlist"/>
              <w:spacing w:before="40" w:after="0" w:line="240" w:lineRule="auto"/>
              <w:ind w:left="0"/>
              <w:jc w:val="both"/>
              <w:rPr>
                <w:rFonts w:cs="Arial"/>
                <w:sz w:val="20"/>
                <w:szCs w:val="20"/>
              </w:rPr>
            </w:pPr>
          </w:p>
        </w:tc>
        <w:tc>
          <w:tcPr>
            <w:tcW w:w="3099" w:type="dxa"/>
            <w:gridSpan w:val="3"/>
          </w:tcPr>
          <w:p w14:paraId="32EC0BC8" w14:textId="77777777" w:rsidR="00962D9E" w:rsidRPr="00BD79C4" w:rsidRDefault="00962D9E" w:rsidP="00962D9E">
            <w:pPr>
              <w:pStyle w:val="Akapitzlist"/>
              <w:spacing w:before="120" w:after="0" w:line="240" w:lineRule="auto"/>
              <w:ind w:left="0"/>
              <w:jc w:val="both"/>
              <w:rPr>
                <w:rFonts w:cs="Arial"/>
                <w:sz w:val="20"/>
                <w:szCs w:val="20"/>
              </w:rPr>
            </w:pPr>
            <w:r w:rsidRPr="00BD79C4">
              <w:rPr>
                <w:rFonts w:cs="Arial"/>
                <w:sz w:val="20"/>
                <w:szCs w:val="20"/>
              </w:rPr>
              <w:t>Maksymalna wysokość zabudowy.</w:t>
            </w:r>
          </w:p>
        </w:tc>
        <w:tc>
          <w:tcPr>
            <w:tcW w:w="3762" w:type="dxa"/>
            <w:gridSpan w:val="3"/>
          </w:tcPr>
          <w:p w14:paraId="248CC7C2" w14:textId="77777777" w:rsidR="00962D9E" w:rsidRPr="00BD79C4" w:rsidRDefault="00962D9E" w:rsidP="00962D9E">
            <w:pPr>
              <w:spacing w:before="30" w:after="0" w:line="240" w:lineRule="auto"/>
              <w:jc w:val="both"/>
              <w:rPr>
                <w:rFonts w:cs="Arial"/>
                <w:sz w:val="20"/>
                <w:szCs w:val="20"/>
              </w:rPr>
            </w:pPr>
            <w:r w:rsidRPr="00BD79C4">
              <w:rPr>
                <w:rFonts w:cs="Arial"/>
                <w:sz w:val="20"/>
                <w:szCs w:val="20"/>
              </w:rPr>
              <w:t>Maksymalna wysokość nowo realizowanej zabudowy dla terenu o symbolu:</w:t>
            </w:r>
          </w:p>
          <w:p w14:paraId="47D8179F" w14:textId="77777777" w:rsidR="00962D9E" w:rsidRPr="00BD79C4" w:rsidRDefault="00962D9E" w:rsidP="00962D9E">
            <w:pPr>
              <w:spacing w:before="30" w:after="0" w:line="240" w:lineRule="auto"/>
              <w:jc w:val="both"/>
              <w:rPr>
                <w:rFonts w:cs="Arial"/>
                <w:sz w:val="20"/>
                <w:szCs w:val="20"/>
              </w:rPr>
            </w:pPr>
            <w:r w:rsidRPr="00BD79C4">
              <w:rPr>
                <w:rFonts w:cs="Arial"/>
                <w:b/>
                <w:bCs/>
                <w:sz w:val="20"/>
                <w:szCs w:val="20"/>
              </w:rPr>
              <w:t xml:space="preserve">96MN: </w:t>
            </w:r>
            <w:r w:rsidRPr="00BD79C4">
              <w:rPr>
                <w:rFonts w:cs="Arial"/>
                <w:sz w:val="20"/>
                <w:szCs w:val="20"/>
              </w:rPr>
              <w:t>- budynków mieszkalnych jednorodzinnych i zabudowy zagrodowej: 12 m,</w:t>
            </w:r>
          </w:p>
          <w:p w14:paraId="480F06CD" w14:textId="77777777" w:rsidR="00962D9E" w:rsidRPr="00BD79C4" w:rsidRDefault="00962D9E" w:rsidP="00962D9E">
            <w:pPr>
              <w:spacing w:before="30" w:after="0" w:line="240" w:lineRule="auto"/>
              <w:jc w:val="both"/>
              <w:rPr>
                <w:rFonts w:cs="Arial"/>
                <w:sz w:val="20"/>
                <w:szCs w:val="20"/>
              </w:rPr>
            </w:pPr>
            <w:r w:rsidRPr="00BD79C4">
              <w:rPr>
                <w:rFonts w:cs="Arial"/>
                <w:sz w:val="20"/>
                <w:szCs w:val="20"/>
              </w:rPr>
              <w:t>- budynków usługowych: 8 m</w:t>
            </w:r>
          </w:p>
          <w:p w14:paraId="0384D0BA" w14:textId="77777777" w:rsidR="00962D9E" w:rsidRPr="00BD79C4" w:rsidRDefault="00962D9E" w:rsidP="00962D9E">
            <w:pPr>
              <w:spacing w:before="30" w:after="0" w:line="240" w:lineRule="auto"/>
              <w:jc w:val="both"/>
              <w:rPr>
                <w:rFonts w:cs="Arial"/>
                <w:sz w:val="20"/>
                <w:szCs w:val="20"/>
              </w:rPr>
            </w:pPr>
            <w:r w:rsidRPr="00BD79C4">
              <w:rPr>
                <w:rFonts w:cs="Arial"/>
                <w:sz w:val="20"/>
                <w:szCs w:val="20"/>
              </w:rPr>
              <w:lastRenderedPageBreak/>
              <w:t>- pozostałych obiektów budowlanych: 5 m</w:t>
            </w:r>
          </w:p>
          <w:p w14:paraId="1948126A" w14:textId="77777777" w:rsidR="00962D9E" w:rsidRPr="00BD79C4" w:rsidRDefault="00962D9E" w:rsidP="00962D9E">
            <w:pPr>
              <w:spacing w:before="30" w:after="0" w:line="240" w:lineRule="auto"/>
              <w:jc w:val="both"/>
              <w:rPr>
                <w:rFonts w:cs="Arial"/>
                <w:sz w:val="20"/>
                <w:szCs w:val="20"/>
              </w:rPr>
            </w:pPr>
            <w:r w:rsidRPr="00BD79C4">
              <w:rPr>
                <w:rFonts w:cs="Arial"/>
                <w:sz w:val="20"/>
                <w:szCs w:val="20"/>
              </w:rPr>
              <w:t>- budynków usługowych i usługowo-mieszkalnych: 12 m</w:t>
            </w:r>
          </w:p>
          <w:p w14:paraId="7CF731BD" w14:textId="77777777" w:rsidR="00962D9E" w:rsidRPr="00BD79C4" w:rsidRDefault="00962D9E" w:rsidP="00962D9E">
            <w:pPr>
              <w:spacing w:before="30" w:after="0" w:line="240" w:lineRule="auto"/>
              <w:jc w:val="both"/>
              <w:rPr>
                <w:rFonts w:cs="Arial"/>
                <w:sz w:val="20"/>
                <w:szCs w:val="20"/>
              </w:rPr>
            </w:pPr>
            <w:r w:rsidRPr="00BD79C4">
              <w:rPr>
                <w:rFonts w:cs="Arial"/>
                <w:b/>
                <w:bCs/>
                <w:sz w:val="20"/>
                <w:szCs w:val="20"/>
              </w:rPr>
              <w:t>36MU:</w:t>
            </w:r>
            <w:r w:rsidRPr="00BD79C4">
              <w:rPr>
                <w:rFonts w:cs="Arial"/>
                <w:sz w:val="20"/>
                <w:szCs w:val="20"/>
              </w:rPr>
              <w:t xml:space="preserve"> - 12 m, za wyjątkiem obiektów infrastruktury technicznej</w:t>
            </w:r>
          </w:p>
          <w:p w14:paraId="323C1992" w14:textId="77777777" w:rsidR="00962D9E" w:rsidRPr="00BD79C4" w:rsidRDefault="00962D9E" w:rsidP="00962D9E">
            <w:pPr>
              <w:spacing w:before="30" w:after="0" w:line="240" w:lineRule="auto"/>
              <w:jc w:val="both"/>
              <w:rPr>
                <w:rFonts w:cs="Arial"/>
                <w:sz w:val="20"/>
                <w:szCs w:val="20"/>
              </w:rPr>
            </w:pPr>
            <w:r w:rsidRPr="00BD79C4">
              <w:rPr>
                <w:rFonts w:cs="Arial"/>
                <w:sz w:val="20"/>
                <w:szCs w:val="20"/>
              </w:rPr>
              <w:t xml:space="preserve">Dla terenu o symbolu </w:t>
            </w:r>
            <w:r w:rsidRPr="00BD79C4">
              <w:rPr>
                <w:rFonts w:cs="Arial"/>
                <w:b/>
                <w:bCs/>
                <w:sz w:val="20"/>
                <w:szCs w:val="20"/>
              </w:rPr>
              <w:t>35WS, 100ZE, 40ZL, 9KDL</w:t>
            </w:r>
            <w:r w:rsidRPr="00BD79C4">
              <w:rPr>
                <w:rFonts w:cs="Arial"/>
                <w:sz w:val="20"/>
                <w:szCs w:val="20"/>
              </w:rPr>
              <w:t>: nie dotyczy</w:t>
            </w:r>
          </w:p>
        </w:tc>
      </w:tr>
      <w:tr w:rsidR="00BD79C4" w:rsidRPr="00BD79C4" w14:paraId="35E4C952" w14:textId="77777777">
        <w:trPr>
          <w:trHeight w:val="697"/>
        </w:trPr>
        <w:tc>
          <w:tcPr>
            <w:tcW w:w="2920" w:type="dxa"/>
            <w:vMerge/>
            <w:shd w:val="clear" w:color="auto" w:fill="D9D9D9" w:themeFill="background1" w:themeFillShade="D9"/>
          </w:tcPr>
          <w:p w14:paraId="125ADB74" w14:textId="77777777" w:rsidR="00962D9E" w:rsidRPr="00BD79C4" w:rsidRDefault="00962D9E" w:rsidP="00962D9E">
            <w:pPr>
              <w:pStyle w:val="Akapitzlist"/>
              <w:spacing w:before="40" w:after="0" w:line="240" w:lineRule="auto"/>
              <w:ind w:left="0"/>
              <w:jc w:val="both"/>
              <w:rPr>
                <w:rFonts w:cs="Arial"/>
                <w:sz w:val="20"/>
                <w:szCs w:val="20"/>
              </w:rPr>
            </w:pPr>
          </w:p>
        </w:tc>
        <w:tc>
          <w:tcPr>
            <w:tcW w:w="3099" w:type="dxa"/>
            <w:gridSpan w:val="3"/>
          </w:tcPr>
          <w:p w14:paraId="42A19BC6" w14:textId="77777777" w:rsidR="00962D9E" w:rsidRPr="00BD79C4" w:rsidRDefault="00962D9E" w:rsidP="00962D9E">
            <w:pPr>
              <w:pStyle w:val="Akapitzlist"/>
              <w:spacing w:before="120" w:after="0" w:line="240" w:lineRule="auto"/>
              <w:ind w:left="0"/>
              <w:jc w:val="both"/>
              <w:rPr>
                <w:rFonts w:cs="Arial"/>
                <w:sz w:val="20"/>
                <w:szCs w:val="20"/>
              </w:rPr>
            </w:pPr>
            <w:r w:rsidRPr="00BD79C4">
              <w:rPr>
                <w:rFonts w:cs="Arial"/>
                <w:sz w:val="20"/>
                <w:szCs w:val="20"/>
              </w:rPr>
              <w:t>Minimalny udział procentowy powierzchni biologicznej czynnej.</w:t>
            </w:r>
          </w:p>
        </w:tc>
        <w:tc>
          <w:tcPr>
            <w:tcW w:w="3762" w:type="dxa"/>
            <w:gridSpan w:val="3"/>
          </w:tcPr>
          <w:p w14:paraId="4CE1E255" w14:textId="77777777" w:rsidR="00962D9E" w:rsidRPr="00BD79C4" w:rsidRDefault="00962D9E" w:rsidP="00962D9E">
            <w:pPr>
              <w:pStyle w:val="Akapitzlist"/>
              <w:spacing w:before="30" w:after="0" w:line="240" w:lineRule="auto"/>
              <w:ind w:left="0"/>
              <w:rPr>
                <w:sz w:val="20"/>
                <w:szCs w:val="20"/>
              </w:rPr>
            </w:pPr>
            <w:r w:rsidRPr="00BD79C4">
              <w:rPr>
                <w:sz w:val="20"/>
                <w:szCs w:val="20"/>
              </w:rPr>
              <w:t>Ustala się dla terenów o symbolu:</w:t>
            </w:r>
          </w:p>
          <w:p w14:paraId="10B4A3D5" w14:textId="77777777" w:rsidR="00962D9E" w:rsidRPr="00BD79C4" w:rsidRDefault="00962D9E" w:rsidP="00962D9E">
            <w:pPr>
              <w:pStyle w:val="Akapitzlist"/>
              <w:spacing w:before="30" w:after="0" w:line="240" w:lineRule="auto"/>
              <w:ind w:left="0"/>
              <w:rPr>
                <w:sz w:val="20"/>
                <w:szCs w:val="20"/>
              </w:rPr>
            </w:pPr>
            <w:r w:rsidRPr="00BD79C4">
              <w:rPr>
                <w:rFonts w:cs="Arial"/>
                <w:b/>
                <w:bCs/>
                <w:sz w:val="20"/>
                <w:szCs w:val="20"/>
              </w:rPr>
              <w:t xml:space="preserve">96MN: </w:t>
            </w:r>
            <w:r w:rsidRPr="00BD79C4">
              <w:rPr>
                <w:sz w:val="20"/>
                <w:szCs w:val="20"/>
              </w:rPr>
              <w:t>- powierzchnie biologicznie czynne winny wynosić co najmniej 30% terenu,</w:t>
            </w:r>
          </w:p>
          <w:p w14:paraId="7CFDEAC2" w14:textId="77777777" w:rsidR="00962D9E" w:rsidRPr="00BD79C4" w:rsidRDefault="00962D9E" w:rsidP="00962D9E">
            <w:pPr>
              <w:pStyle w:val="Akapitzlist"/>
              <w:spacing w:before="30" w:after="0" w:line="240" w:lineRule="auto"/>
              <w:ind w:left="0"/>
              <w:rPr>
                <w:sz w:val="20"/>
                <w:szCs w:val="20"/>
              </w:rPr>
            </w:pPr>
            <w:r w:rsidRPr="00BD79C4">
              <w:rPr>
                <w:b/>
                <w:bCs/>
                <w:sz w:val="20"/>
                <w:szCs w:val="20"/>
              </w:rPr>
              <w:t>36MU:</w:t>
            </w:r>
            <w:r w:rsidRPr="00BD79C4">
              <w:rPr>
                <w:sz w:val="20"/>
                <w:szCs w:val="20"/>
              </w:rPr>
              <w:t>- powierzchnia biologicznie czynna: min. 30% powierzchni działki budowlanej,</w:t>
            </w:r>
          </w:p>
          <w:p w14:paraId="34240026" w14:textId="77777777" w:rsidR="00962D9E" w:rsidRPr="00BD79C4" w:rsidRDefault="00962D9E" w:rsidP="00962D9E">
            <w:pPr>
              <w:pStyle w:val="Akapitzlist"/>
              <w:spacing w:before="30" w:after="0" w:line="240" w:lineRule="auto"/>
              <w:ind w:left="0"/>
              <w:rPr>
                <w:rFonts w:cs="Arial"/>
                <w:sz w:val="20"/>
                <w:szCs w:val="20"/>
              </w:rPr>
            </w:pPr>
            <w:r w:rsidRPr="00BD79C4">
              <w:rPr>
                <w:rFonts w:cs="Arial"/>
                <w:b/>
                <w:bCs/>
                <w:sz w:val="20"/>
                <w:szCs w:val="20"/>
              </w:rPr>
              <w:t>100ZE:</w:t>
            </w:r>
            <w:r w:rsidRPr="00BD79C4">
              <w:rPr>
                <w:rFonts w:cs="Arial"/>
                <w:sz w:val="20"/>
                <w:szCs w:val="20"/>
              </w:rPr>
              <w:t xml:space="preserve"> udział procentowy powierzchni biologicznie czynnej w odniesieniu do powierzchni działki budowlanej: min. 80%.</w:t>
            </w:r>
          </w:p>
          <w:p w14:paraId="64268C64" w14:textId="77777777" w:rsidR="00962D9E" w:rsidRPr="00BD79C4" w:rsidRDefault="00962D9E" w:rsidP="00962D9E">
            <w:pPr>
              <w:pStyle w:val="Akapitzlist"/>
              <w:spacing w:before="30" w:after="0" w:line="240" w:lineRule="auto"/>
              <w:ind w:left="0"/>
              <w:rPr>
                <w:rFonts w:cs="Arial"/>
                <w:sz w:val="20"/>
                <w:szCs w:val="20"/>
              </w:rPr>
            </w:pPr>
            <w:r w:rsidRPr="00BD79C4">
              <w:rPr>
                <w:rFonts w:cs="Arial"/>
                <w:sz w:val="20"/>
                <w:szCs w:val="20"/>
              </w:rPr>
              <w:t xml:space="preserve">Dla terenu o symbolu </w:t>
            </w:r>
            <w:r w:rsidRPr="00BD79C4">
              <w:rPr>
                <w:rFonts w:cs="Arial"/>
                <w:b/>
                <w:bCs/>
                <w:sz w:val="20"/>
                <w:szCs w:val="20"/>
              </w:rPr>
              <w:t>35WS, 40ZL, 9KDL</w:t>
            </w:r>
            <w:r w:rsidRPr="00BD79C4">
              <w:rPr>
                <w:rFonts w:cs="Arial"/>
                <w:sz w:val="20"/>
                <w:szCs w:val="20"/>
              </w:rPr>
              <w:t>: nie dotyczy</w:t>
            </w:r>
          </w:p>
        </w:tc>
      </w:tr>
      <w:tr w:rsidR="00BD79C4" w:rsidRPr="00BD79C4" w14:paraId="6B19C92B" w14:textId="77777777">
        <w:trPr>
          <w:trHeight w:val="697"/>
        </w:trPr>
        <w:tc>
          <w:tcPr>
            <w:tcW w:w="2920" w:type="dxa"/>
            <w:shd w:val="clear" w:color="auto" w:fill="D9D9D9" w:themeFill="background1" w:themeFillShade="D9"/>
          </w:tcPr>
          <w:p w14:paraId="250C2555" w14:textId="77777777" w:rsidR="00962D9E" w:rsidRPr="00BD79C4" w:rsidRDefault="00962D9E" w:rsidP="00962D9E">
            <w:pPr>
              <w:pStyle w:val="Akapitzlist"/>
              <w:spacing w:before="40" w:after="0" w:line="240" w:lineRule="auto"/>
              <w:ind w:left="0"/>
              <w:jc w:val="both"/>
              <w:rPr>
                <w:rFonts w:cs="Arial"/>
                <w:sz w:val="20"/>
                <w:szCs w:val="20"/>
              </w:rPr>
            </w:pPr>
          </w:p>
        </w:tc>
        <w:tc>
          <w:tcPr>
            <w:tcW w:w="3099" w:type="dxa"/>
            <w:gridSpan w:val="3"/>
          </w:tcPr>
          <w:p w14:paraId="5E00FFD9" w14:textId="77777777" w:rsidR="00962D9E" w:rsidRPr="00BD79C4" w:rsidRDefault="00962D9E" w:rsidP="00962D9E">
            <w:pPr>
              <w:pStyle w:val="Akapitzlist"/>
              <w:spacing w:before="120" w:after="0" w:line="240" w:lineRule="auto"/>
              <w:ind w:left="0"/>
              <w:jc w:val="both"/>
              <w:rPr>
                <w:rFonts w:cs="Arial"/>
                <w:sz w:val="20"/>
                <w:szCs w:val="20"/>
              </w:rPr>
            </w:pPr>
            <w:r w:rsidRPr="00BD79C4">
              <w:rPr>
                <w:rFonts w:cs="Arial"/>
                <w:sz w:val="20"/>
                <w:szCs w:val="20"/>
              </w:rPr>
              <w:t>Minimalna liczba miejsc do parkowania</w:t>
            </w:r>
          </w:p>
        </w:tc>
        <w:tc>
          <w:tcPr>
            <w:tcW w:w="3762" w:type="dxa"/>
            <w:gridSpan w:val="3"/>
          </w:tcPr>
          <w:p w14:paraId="67641D18" w14:textId="77777777" w:rsidR="00962D9E" w:rsidRPr="00BD79C4" w:rsidRDefault="00962D9E" w:rsidP="00962D9E">
            <w:pPr>
              <w:spacing w:before="30" w:after="0" w:line="240" w:lineRule="auto"/>
              <w:rPr>
                <w:sz w:val="20"/>
                <w:szCs w:val="20"/>
              </w:rPr>
            </w:pPr>
            <w:r w:rsidRPr="00BD79C4">
              <w:rPr>
                <w:sz w:val="20"/>
                <w:szCs w:val="20"/>
              </w:rPr>
              <w:t>- dla lokali mieszkalnych: 1,5 miejsca na każde mieszkanie, w tym miejsca w garażu,</w:t>
            </w:r>
          </w:p>
          <w:p w14:paraId="06BD05D4" w14:textId="77777777" w:rsidR="00962D9E" w:rsidRPr="00BD79C4" w:rsidRDefault="00962D9E" w:rsidP="00962D9E">
            <w:pPr>
              <w:spacing w:before="30" w:after="0" w:line="240" w:lineRule="auto"/>
              <w:rPr>
                <w:sz w:val="20"/>
                <w:szCs w:val="20"/>
              </w:rPr>
            </w:pPr>
            <w:r w:rsidRPr="00BD79C4">
              <w:rPr>
                <w:sz w:val="20"/>
                <w:szCs w:val="20"/>
              </w:rPr>
              <w:t>- dla budynków mieszkalnych jednorodzinnych: 2 miejsca na mieszkanie, w tym w garażu,</w:t>
            </w:r>
          </w:p>
          <w:p w14:paraId="1C953CE8" w14:textId="77777777" w:rsidR="00962D9E" w:rsidRPr="00BD79C4" w:rsidRDefault="00962D9E" w:rsidP="00962D9E">
            <w:pPr>
              <w:spacing w:before="30" w:after="0" w:line="240" w:lineRule="auto"/>
              <w:rPr>
                <w:sz w:val="20"/>
                <w:szCs w:val="20"/>
              </w:rPr>
            </w:pPr>
            <w:r w:rsidRPr="00BD79C4">
              <w:rPr>
                <w:sz w:val="20"/>
                <w:szCs w:val="20"/>
              </w:rPr>
              <w:t>- dla zabudowy letniskowej: 1 miejsce na 1 budynek rekreacji indywidualnej,</w:t>
            </w:r>
          </w:p>
          <w:p w14:paraId="244E4E2D" w14:textId="77777777" w:rsidR="00962D9E" w:rsidRPr="00BD79C4" w:rsidRDefault="00962D9E" w:rsidP="00962D9E">
            <w:pPr>
              <w:spacing w:before="30" w:after="0" w:line="240" w:lineRule="auto"/>
              <w:rPr>
                <w:sz w:val="20"/>
                <w:szCs w:val="20"/>
              </w:rPr>
            </w:pPr>
            <w:r w:rsidRPr="00BD79C4">
              <w:rPr>
                <w:sz w:val="20"/>
                <w:szCs w:val="20"/>
              </w:rPr>
              <w:t>- dla usług publicznych: 1 miejsce na 200 m</w:t>
            </w:r>
            <w:r w:rsidRPr="00BD79C4">
              <w:rPr>
                <w:sz w:val="20"/>
                <w:szCs w:val="20"/>
                <w:vertAlign w:val="superscript"/>
              </w:rPr>
              <w:t>2</w:t>
            </w:r>
            <w:r w:rsidRPr="00BD79C4">
              <w:rPr>
                <w:sz w:val="20"/>
                <w:szCs w:val="20"/>
              </w:rPr>
              <w:t xml:space="preserve"> powierzchni użytkowej, lecz nie mniej  niż 2 miejsca oraz dodatkowo 1 miejsce na 5 zatrudnionych</w:t>
            </w:r>
          </w:p>
        </w:tc>
      </w:tr>
      <w:tr w:rsidR="00BD79C4" w:rsidRPr="00BD79C4" w14:paraId="0C54526B" w14:textId="77777777">
        <w:trPr>
          <w:trHeight w:val="697"/>
        </w:trPr>
        <w:tc>
          <w:tcPr>
            <w:tcW w:w="2920" w:type="dxa"/>
            <w:tcBorders>
              <w:bottom w:val="nil"/>
            </w:tcBorders>
            <w:shd w:val="clear" w:color="auto" w:fill="D9D9D9" w:themeFill="background1" w:themeFillShade="D9"/>
          </w:tcPr>
          <w:p w14:paraId="574778FF" w14:textId="77777777" w:rsidR="00962D9E" w:rsidRPr="00BD79C4" w:rsidRDefault="00962D9E" w:rsidP="00962D9E">
            <w:pPr>
              <w:pStyle w:val="Akapitzlist"/>
              <w:spacing w:before="40" w:after="0" w:line="240" w:lineRule="auto"/>
              <w:ind w:left="0"/>
              <w:jc w:val="both"/>
              <w:rPr>
                <w:rFonts w:cs="Arial"/>
                <w:sz w:val="20"/>
                <w:szCs w:val="20"/>
              </w:rPr>
            </w:pPr>
            <w:r w:rsidRPr="00BD79C4">
              <w:rPr>
                <w:rFonts w:cs="Arial"/>
                <w:sz w:val="20"/>
                <w:szCs w:val="20"/>
              </w:rPr>
              <w:t>Ustalenia decyzji o warunkach zabudowy albo decyzji o ustaleniu lokalizacji inwestycji celu publicznego dla terenu objętego przedsięwzięciem deweloperskim lub zadaniem inwestycyjnym w przypadku braku miejscowego planu zagospodarowanie przestrzennego.</w:t>
            </w:r>
          </w:p>
        </w:tc>
        <w:tc>
          <w:tcPr>
            <w:tcW w:w="3099" w:type="dxa"/>
            <w:gridSpan w:val="3"/>
            <w:tcBorders>
              <w:bottom w:val="single" w:sz="4" w:space="0" w:color="auto"/>
            </w:tcBorders>
          </w:tcPr>
          <w:p w14:paraId="6BF9AA92" w14:textId="77777777" w:rsidR="00962D9E" w:rsidRPr="00BD79C4" w:rsidRDefault="00962D9E" w:rsidP="00962D9E">
            <w:pPr>
              <w:pStyle w:val="Akapitzlist"/>
              <w:spacing w:before="120" w:after="0" w:line="240" w:lineRule="auto"/>
              <w:ind w:left="0"/>
              <w:jc w:val="both"/>
              <w:rPr>
                <w:rFonts w:cs="Arial"/>
                <w:sz w:val="20"/>
                <w:szCs w:val="20"/>
              </w:rPr>
            </w:pPr>
            <w:r w:rsidRPr="00BD79C4">
              <w:rPr>
                <w:rFonts w:cs="Arial"/>
                <w:sz w:val="20"/>
                <w:szCs w:val="20"/>
              </w:rPr>
              <w:t>Funkcja zabudowy i zagospodarowania terenu.</w:t>
            </w:r>
          </w:p>
        </w:tc>
        <w:tc>
          <w:tcPr>
            <w:tcW w:w="3762" w:type="dxa"/>
            <w:gridSpan w:val="3"/>
          </w:tcPr>
          <w:p w14:paraId="64119E5F" w14:textId="77777777" w:rsidR="00962D9E" w:rsidRPr="00BD79C4" w:rsidRDefault="00962D9E" w:rsidP="00962D9E">
            <w:pPr>
              <w:spacing w:before="30" w:after="0" w:line="240" w:lineRule="auto"/>
              <w:rPr>
                <w:sz w:val="20"/>
                <w:szCs w:val="20"/>
              </w:rPr>
            </w:pPr>
            <w:r w:rsidRPr="00BD79C4">
              <w:rPr>
                <w:sz w:val="20"/>
                <w:szCs w:val="20"/>
              </w:rPr>
              <w:t>Celem przedsięwzięcia inwestycyjnego jest budowa zespołu piętnastu budynków mieszkalnych, jednorodzinnych, dwuklatkowych w zabudowie bliźniaczej w Łodygowicach, przy ul. Ceglanej.  Planuje się realizację inwestycji w 2 etapach:</w:t>
            </w:r>
          </w:p>
          <w:p w14:paraId="12F57BC1" w14:textId="77777777" w:rsidR="00962D9E" w:rsidRPr="00BD79C4" w:rsidRDefault="00962D9E" w:rsidP="00962D9E">
            <w:pPr>
              <w:pStyle w:val="Akapitzlist"/>
              <w:numPr>
                <w:ilvl w:val="0"/>
                <w:numId w:val="4"/>
              </w:numPr>
              <w:spacing w:before="30" w:after="0" w:line="240" w:lineRule="auto"/>
              <w:rPr>
                <w:sz w:val="20"/>
                <w:szCs w:val="20"/>
              </w:rPr>
            </w:pPr>
            <w:r w:rsidRPr="00BD79C4">
              <w:rPr>
                <w:sz w:val="20"/>
                <w:szCs w:val="20"/>
              </w:rPr>
              <w:t>Etap 1- budynki od „A” do „H” wraz z ciągiem pieszo- jezdnym oraz przynależną infrastrukturą techniczną</w:t>
            </w:r>
          </w:p>
          <w:p w14:paraId="6E995B66" w14:textId="77777777" w:rsidR="00962D9E" w:rsidRPr="00BD79C4" w:rsidRDefault="00962D9E" w:rsidP="00962D9E">
            <w:pPr>
              <w:pStyle w:val="Akapitzlist"/>
              <w:numPr>
                <w:ilvl w:val="0"/>
                <w:numId w:val="4"/>
              </w:numPr>
              <w:spacing w:before="30" w:after="0" w:line="240" w:lineRule="auto"/>
              <w:rPr>
                <w:sz w:val="20"/>
                <w:szCs w:val="20"/>
              </w:rPr>
            </w:pPr>
            <w:r w:rsidRPr="00BD79C4">
              <w:rPr>
                <w:sz w:val="20"/>
                <w:szCs w:val="20"/>
              </w:rPr>
              <w:t>Etap 2- budynki od „I” do „O” wraz z przynależną infrastrukturą techniczną.</w:t>
            </w:r>
          </w:p>
        </w:tc>
      </w:tr>
      <w:tr w:rsidR="00BD79C4" w:rsidRPr="00BD79C4" w14:paraId="783D9C00" w14:textId="77777777">
        <w:trPr>
          <w:trHeight w:val="697"/>
        </w:trPr>
        <w:tc>
          <w:tcPr>
            <w:tcW w:w="2920" w:type="dxa"/>
            <w:tcBorders>
              <w:top w:val="nil"/>
              <w:bottom w:val="nil"/>
            </w:tcBorders>
            <w:shd w:val="clear" w:color="auto" w:fill="D9D9D9" w:themeFill="background1" w:themeFillShade="D9"/>
          </w:tcPr>
          <w:p w14:paraId="19EA77D0" w14:textId="77777777" w:rsidR="00962D9E" w:rsidRPr="00BD79C4" w:rsidRDefault="00962D9E" w:rsidP="00962D9E">
            <w:pPr>
              <w:pStyle w:val="Akapitzlist"/>
              <w:spacing w:before="40" w:after="0" w:line="240" w:lineRule="auto"/>
              <w:ind w:left="0"/>
              <w:jc w:val="both"/>
              <w:rPr>
                <w:rFonts w:cs="Arial"/>
                <w:sz w:val="20"/>
                <w:szCs w:val="20"/>
              </w:rPr>
            </w:pPr>
          </w:p>
        </w:tc>
        <w:tc>
          <w:tcPr>
            <w:tcW w:w="3099" w:type="dxa"/>
            <w:gridSpan w:val="3"/>
            <w:tcBorders>
              <w:bottom w:val="single" w:sz="4" w:space="0" w:color="auto"/>
              <w:right w:val="nil"/>
            </w:tcBorders>
          </w:tcPr>
          <w:p w14:paraId="53032F18" w14:textId="77777777" w:rsidR="00962D9E" w:rsidRPr="00BD79C4" w:rsidRDefault="00962D9E" w:rsidP="00962D9E">
            <w:pPr>
              <w:pStyle w:val="Akapitzlist"/>
              <w:spacing w:before="120" w:after="0" w:line="240" w:lineRule="auto"/>
              <w:ind w:left="0"/>
              <w:jc w:val="both"/>
              <w:rPr>
                <w:rFonts w:cs="Arial"/>
                <w:sz w:val="20"/>
                <w:szCs w:val="20"/>
              </w:rPr>
            </w:pPr>
            <w:r w:rsidRPr="00BD79C4">
              <w:rPr>
                <w:rFonts w:cs="Arial"/>
                <w:sz w:val="20"/>
                <w:szCs w:val="20"/>
              </w:rPr>
              <w:t>Cechy zabudowy i zagospodarowania terenu:</w:t>
            </w:r>
          </w:p>
        </w:tc>
        <w:tc>
          <w:tcPr>
            <w:tcW w:w="3762" w:type="dxa"/>
            <w:gridSpan w:val="3"/>
            <w:tcBorders>
              <w:left w:val="nil"/>
              <w:bottom w:val="single" w:sz="4" w:space="0" w:color="auto"/>
            </w:tcBorders>
          </w:tcPr>
          <w:p w14:paraId="3C327EF7" w14:textId="77777777" w:rsidR="00962D9E" w:rsidRPr="00BD79C4" w:rsidRDefault="00962D9E" w:rsidP="00962D9E">
            <w:pPr>
              <w:spacing w:before="30" w:after="0" w:line="240" w:lineRule="auto"/>
              <w:rPr>
                <w:sz w:val="20"/>
                <w:szCs w:val="20"/>
              </w:rPr>
            </w:pPr>
          </w:p>
        </w:tc>
      </w:tr>
      <w:tr w:rsidR="00BD79C4" w:rsidRPr="00BD79C4" w14:paraId="538AE863" w14:textId="77777777" w:rsidTr="00440446">
        <w:trPr>
          <w:trHeight w:val="428"/>
        </w:trPr>
        <w:tc>
          <w:tcPr>
            <w:tcW w:w="2920" w:type="dxa"/>
            <w:tcBorders>
              <w:top w:val="nil"/>
              <w:bottom w:val="nil"/>
            </w:tcBorders>
            <w:shd w:val="clear" w:color="auto" w:fill="D9D9D9" w:themeFill="background1" w:themeFillShade="D9"/>
          </w:tcPr>
          <w:p w14:paraId="6E9696C5" w14:textId="77777777" w:rsidR="00962D9E" w:rsidRPr="00BD79C4" w:rsidRDefault="00962D9E" w:rsidP="00962D9E">
            <w:pPr>
              <w:pStyle w:val="Akapitzlist"/>
              <w:spacing w:before="40" w:after="0" w:line="240" w:lineRule="auto"/>
              <w:ind w:left="0"/>
              <w:jc w:val="both"/>
              <w:rPr>
                <w:rFonts w:cs="Arial"/>
                <w:sz w:val="20"/>
                <w:szCs w:val="20"/>
              </w:rPr>
            </w:pPr>
          </w:p>
        </w:tc>
        <w:tc>
          <w:tcPr>
            <w:tcW w:w="3099" w:type="dxa"/>
            <w:gridSpan w:val="3"/>
            <w:tcBorders>
              <w:right w:val="single" w:sz="4" w:space="0" w:color="auto"/>
            </w:tcBorders>
          </w:tcPr>
          <w:p w14:paraId="2222FDA0" w14:textId="77777777" w:rsidR="00962D9E" w:rsidRPr="00BD79C4" w:rsidRDefault="00962D9E" w:rsidP="00962D9E">
            <w:pPr>
              <w:pStyle w:val="Akapitzlist"/>
              <w:spacing w:before="120" w:after="0" w:line="240" w:lineRule="auto"/>
              <w:ind w:left="0"/>
              <w:jc w:val="both"/>
              <w:rPr>
                <w:rFonts w:cs="Arial"/>
                <w:sz w:val="20"/>
                <w:szCs w:val="20"/>
              </w:rPr>
            </w:pPr>
            <w:r w:rsidRPr="00BD79C4">
              <w:rPr>
                <w:rFonts w:cs="Arial"/>
                <w:sz w:val="20"/>
                <w:szCs w:val="20"/>
              </w:rPr>
              <w:t>gabaryty</w:t>
            </w:r>
          </w:p>
        </w:tc>
        <w:tc>
          <w:tcPr>
            <w:tcW w:w="3762" w:type="dxa"/>
            <w:gridSpan w:val="3"/>
            <w:tcBorders>
              <w:left w:val="single" w:sz="4" w:space="0" w:color="auto"/>
              <w:bottom w:val="single" w:sz="4" w:space="0" w:color="auto"/>
            </w:tcBorders>
          </w:tcPr>
          <w:p w14:paraId="3368B8EB" w14:textId="77777777" w:rsidR="00962D9E" w:rsidRPr="00BD79C4" w:rsidRDefault="00962D9E" w:rsidP="00962D9E">
            <w:pPr>
              <w:spacing w:before="30" w:after="0" w:line="240" w:lineRule="auto"/>
              <w:rPr>
                <w:b/>
                <w:bCs/>
                <w:sz w:val="20"/>
                <w:szCs w:val="20"/>
              </w:rPr>
            </w:pPr>
            <w:r w:rsidRPr="00BD79C4">
              <w:rPr>
                <w:b/>
                <w:bCs/>
                <w:sz w:val="20"/>
                <w:szCs w:val="20"/>
              </w:rPr>
              <w:t>11,94x 10,62m</w:t>
            </w:r>
          </w:p>
        </w:tc>
      </w:tr>
      <w:tr w:rsidR="00BD79C4" w:rsidRPr="00BD79C4" w14:paraId="41682CBA" w14:textId="77777777">
        <w:trPr>
          <w:trHeight w:val="697"/>
        </w:trPr>
        <w:tc>
          <w:tcPr>
            <w:tcW w:w="2920" w:type="dxa"/>
            <w:tcBorders>
              <w:top w:val="nil"/>
              <w:bottom w:val="nil"/>
            </w:tcBorders>
            <w:shd w:val="clear" w:color="auto" w:fill="D9D9D9" w:themeFill="background1" w:themeFillShade="D9"/>
          </w:tcPr>
          <w:p w14:paraId="1301EFB7" w14:textId="77777777" w:rsidR="00962D9E" w:rsidRPr="00BD79C4" w:rsidRDefault="00962D9E" w:rsidP="00962D9E">
            <w:pPr>
              <w:pStyle w:val="Akapitzlist"/>
              <w:spacing w:before="40" w:after="0" w:line="240" w:lineRule="auto"/>
              <w:ind w:left="0"/>
              <w:jc w:val="both"/>
              <w:rPr>
                <w:rFonts w:cs="Arial"/>
                <w:sz w:val="20"/>
                <w:szCs w:val="20"/>
              </w:rPr>
            </w:pPr>
          </w:p>
        </w:tc>
        <w:tc>
          <w:tcPr>
            <w:tcW w:w="3099" w:type="dxa"/>
            <w:gridSpan w:val="3"/>
            <w:tcBorders>
              <w:right w:val="single" w:sz="4" w:space="0" w:color="auto"/>
            </w:tcBorders>
          </w:tcPr>
          <w:p w14:paraId="4C55F979" w14:textId="77777777" w:rsidR="00962D9E" w:rsidRPr="00BD79C4" w:rsidRDefault="00962D9E" w:rsidP="00962D9E">
            <w:pPr>
              <w:pStyle w:val="Akapitzlist"/>
              <w:spacing w:before="120" w:after="0" w:line="240" w:lineRule="auto"/>
              <w:ind w:left="0"/>
              <w:jc w:val="both"/>
              <w:rPr>
                <w:rFonts w:cs="Arial"/>
                <w:sz w:val="20"/>
                <w:szCs w:val="20"/>
              </w:rPr>
            </w:pPr>
            <w:r w:rsidRPr="00BD79C4">
              <w:rPr>
                <w:rFonts w:cs="Arial"/>
                <w:sz w:val="20"/>
                <w:szCs w:val="20"/>
              </w:rPr>
              <w:t>forma architektoniczna</w:t>
            </w:r>
          </w:p>
        </w:tc>
        <w:tc>
          <w:tcPr>
            <w:tcW w:w="3762" w:type="dxa"/>
            <w:gridSpan w:val="3"/>
            <w:tcBorders>
              <w:left w:val="single" w:sz="4" w:space="0" w:color="auto"/>
            </w:tcBorders>
          </w:tcPr>
          <w:p w14:paraId="1950876D" w14:textId="24F76D7E" w:rsidR="00962D9E" w:rsidRPr="00BD79C4" w:rsidRDefault="00962D9E" w:rsidP="00962D9E">
            <w:pPr>
              <w:spacing w:before="30" w:after="0" w:line="240" w:lineRule="auto"/>
              <w:rPr>
                <w:sz w:val="20"/>
                <w:szCs w:val="20"/>
              </w:rPr>
            </w:pPr>
            <w:r w:rsidRPr="00BD79C4">
              <w:rPr>
                <w:sz w:val="20"/>
                <w:szCs w:val="20"/>
              </w:rPr>
              <w:t xml:space="preserve">Budynek tworzy zwartą formę architektoniczną i odznacza się nowoczesnym wykończeniem estetycznym. Bryła budynku to  część główna nadziemna oparta na gruncie istniejącym, część  elewacji frontowej na poziomie parteru została wycofana w stosunku do lica ściany. Dach symetryczny, dwuspadowy o nachyleniu głównych połaci 30 stopni. Elewacje bryły nadziemnej wykończone płytami cementowo- wiórowymi </w:t>
            </w:r>
            <w:proofErr w:type="spellStart"/>
            <w:r w:rsidRPr="00BD79C4">
              <w:rPr>
                <w:sz w:val="20"/>
                <w:szCs w:val="20"/>
              </w:rPr>
              <w:t>Cetris</w:t>
            </w:r>
            <w:proofErr w:type="spellEnd"/>
            <w:r w:rsidRPr="00BD79C4">
              <w:rPr>
                <w:sz w:val="20"/>
                <w:szCs w:val="20"/>
              </w:rPr>
              <w:t xml:space="preserve"> w kolorze jasnoszarym oraz antracytowym. </w:t>
            </w:r>
            <w:r w:rsidRPr="00BD79C4">
              <w:rPr>
                <w:sz w:val="20"/>
                <w:szCs w:val="20"/>
              </w:rPr>
              <w:lastRenderedPageBreak/>
              <w:t xml:space="preserve">Stolarka okienne PCV w kolorze </w:t>
            </w:r>
            <w:r w:rsidR="007E1526" w:rsidRPr="00BD79C4">
              <w:rPr>
                <w:sz w:val="20"/>
                <w:szCs w:val="20"/>
              </w:rPr>
              <w:t>białym</w:t>
            </w:r>
            <w:r w:rsidRPr="00BD79C4">
              <w:rPr>
                <w:sz w:val="20"/>
                <w:szCs w:val="20"/>
              </w:rPr>
              <w:t>. Elewacja zostanie dodatkowo otynkowana.</w:t>
            </w:r>
          </w:p>
        </w:tc>
      </w:tr>
      <w:tr w:rsidR="00BD79C4" w:rsidRPr="00BD79C4" w14:paraId="3EF51F9C" w14:textId="77777777">
        <w:trPr>
          <w:trHeight w:val="697"/>
        </w:trPr>
        <w:tc>
          <w:tcPr>
            <w:tcW w:w="2920" w:type="dxa"/>
            <w:tcBorders>
              <w:top w:val="nil"/>
              <w:bottom w:val="nil"/>
            </w:tcBorders>
            <w:shd w:val="clear" w:color="auto" w:fill="D9D9D9" w:themeFill="background1" w:themeFillShade="D9"/>
          </w:tcPr>
          <w:p w14:paraId="5488A406" w14:textId="77777777" w:rsidR="00962D9E" w:rsidRPr="00BD79C4" w:rsidRDefault="00962D9E" w:rsidP="00962D9E">
            <w:pPr>
              <w:pStyle w:val="Akapitzlist"/>
              <w:spacing w:before="40" w:after="0" w:line="240" w:lineRule="auto"/>
              <w:ind w:left="0"/>
              <w:jc w:val="both"/>
              <w:rPr>
                <w:rFonts w:cs="Arial"/>
                <w:sz w:val="20"/>
                <w:szCs w:val="20"/>
              </w:rPr>
            </w:pPr>
          </w:p>
        </w:tc>
        <w:tc>
          <w:tcPr>
            <w:tcW w:w="3099" w:type="dxa"/>
            <w:gridSpan w:val="3"/>
            <w:tcBorders>
              <w:right w:val="single" w:sz="4" w:space="0" w:color="auto"/>
            </w:tcBorders>
          </w:tcPr>
          <w:p w14:paraId="19096CD3" w14:textId="77777777" w:rsidR="00962D9E" w:rsidRPr="00BD79C4" w:rsidRDefault="00962D9E" w:rsidP="00962D9E">
            <w:pPr>
              <w:pStyle w:val="Akapitzlist"/>
              <w:spacing w:before="120" w:after="0" w:line="240" w:lineRule="auto"/>
              <w:ind w:left="0"/>
              <w:jc w:val="both"/>
              <w:rPr>
                <w:rFonts w:cs="Arial"/>
                <w:sz w:val="20"/>
                <w:szCs w:val="20"/>
              </w:rPr>
            </w:pPr>
            <w:r w:rsidRPr="00BD79C4">
              <w:rPr>
                <w:rFonts w:cs="Arial"/>
                <w:sz w:val="20"/>
                <w:szCs w:val="20"/>
              </w:rPr>
              <w:t>usytuowanie linii zabudowy</w:t>
            </w:r>
          </w:p>
        </w:tc>
        <w:tc>
          <w:tcPr>
            <w:tcW w:w="3762" w:type="dxa"/>
            <w:gridSpan w:val="3"/>
            <w:tcBorders>
              <w:left w:val="single" w:sz="4" w:space="0" w:color="auto"/>
            </w:tcBorders>
          </w:tcPr>
          <w:p w14:paraId="19A08AAF" w14:textId="77777777" w:rsidR="00962D9E" w:rsidRPr="00BD79C4" w:rsidRDefault="00962D9E" w:rsidP="00962D9E">
            <w:pPr>
              <w:spacing w:before="30" w:after="0" w:line="240" w:lineRule="auto"/>
              <w:rPr>
                <w:sz w:val="20"/>
                <w:szCs w:val="20"/>
              </w:rPr>
            </w:pPr>
            <w:r w:rsidRPr="00BD79C4">
              <w:rPr>
                <w:sz w:val="20"/>
                <w:szCs w:val="20"/>
              </w:rPr>
              <w:t>Utrzymanie nieprzekraczalnej linii zabudowy zgodnie z rysunkiem planu miejscowego - warunek spełniony w projekcie, projektowana zabudowa została zlokalizowana zgodnie z nieprzekraczalną linią zabudowy od drogi oraz cieku wodnego.</w:t>
            </w:r>
          </w:p>
        </w:tc>
      </w:tr>
      <w:tr w:rsidR="00BD79C4" w:rsidRPr="00BD79C4" w14:paraId="786DBFDB" w14:textId="77777777">
        <w:trPr>
          <w:trHeight w:val="697"/>
        </w:trPr>
        <w:tc>
          <w:tcPr>
            <w:tcW w:w="2920" w:type="dxa"/>
            <w:tcBorders>
              <w:top w:val="nil"/>
              <w:bottom w:val="nil"/>
            </w:tcBorders>
            <w:shd w:val="clear" w:color="auto" w:fill="D9D9D9" w:themeFill="background1" w:themeFillShade="D9"/>
          </w:tcPr>
          <w:p w14:paraId="5CCA7AD0" w14:textId="77777777" w:rsidR="00962D9E" w:rsidRPr="00BD79C4" w:rsidRDefault="00962D9E" w:rsidP="00962D9E">
            <w:pPr>
              <w:pStyle w:val="Akapitzlist"/>
              <w:spacing w:before="40" w:after="0" w:line="240" w:lineRule="auto"/>
              <w:ind w:left="0"/>
              <w:jc w:val="both"/>
              <w:rPr>
                <w:rFonts w:cs="Arial"/>
                <w:sz w:val="20"/>
                <w:szCs w:val="20"/>
              </w:rPr>
            </w:pPr>
          </w:p>
        </w:tc>
        <w:tc>
          <w:tcPr>
            <w:tcW w:w="3099" w:type="dxa"/>
            <w:gridSpan w:val="3"/>
            <w:tcBorders>
              <w:right w:val="single" w:sz="4" w:space="0" w:color="auto"/>
            </w:tcBorders>
          </w:tcPr>
          <w:p w14:paraId="5ED660EA" w14:textId="77777777" w:rsidR="00962D9E" w:rsidRPr="00BD79C4" w:rsidRDefault="00962D9E" w:rsidP="00962D9E">
            <w:pPr>
              <w:pStyle w:val="Akapitzlist"/>
              <w:spacing w:before="120" w:after="0" w:line="240" w:lineRule="auto"/>
              <w:ind w:left="0"/>
              <w:jc w:val="both"/>
              <w:rPr>
                <w:rFonts w:cs="Arial"/>
                <w:sz w:val="20"/>
                <w:szCs w:val="20"/>
              </w:rPr>
            </w:pPr>
            <w:r w:rsidRPr="00BD79C4">
              <w:rPr>
                <w:rFonts w:cs="Arial"/>
                <w:sz w:val="20"/>
                <w:szCs w:val="20"/>
              </w:rPr>
              <w:t>intensywność wykorzystania terenu</w:t>
            </w:r>
          </w:p>
        </w:tc>
        <w:tc>
          <w:tcPr>
            <w:tcW w:w="3762" w:type="dxa"/>
            <w:gridSpan w:val="3"/>
            <w:tcBorders>
              <w:left w:val="single" w:sz="4" w:space="0" w:color="auto"/>
            </w:tcBorders>
          </w:tcPr>
          <w:p w14:paraId="6150EBAA" w14:textId="77777777" w:rsidR="00962D9E" w:rsidRPr="00BD79C4" w:rsidRDefault="00962D9E" w:rsidP="00962D9E">
            <w:pPr>
              <w:spacing w:before="30" w:after="0" w:line="240" w:lineRule="auto"/>
              <w:rPr>
                <w:sz w:val="20"/>
                <w:szCs w:val="20"/>
              </w:rPr>
            </w:pPr>
            <w:r w:rsidRPr="00BD79C4">
              <w:rPr>
                <w:sz w:val="20"/>
                <w:szCs w:val="20"/>
              </w:rPr>
              <w:t>Zgodny z Miejscowym Planem Zagospodarowania Przestrzennego</w:t>
            </w:r>
          </w:p>
        </w:tc>
      </w:tr>
      <w:tr w:rsidR="00BD79C4" w:rsidRPr="00BD79C4" w14:paraId="2B39D105" w14:textId="77777777">
        <w:trPr>
          <w:trHeight w:val="697"/>
        </w:trPr>
        <w:tc>
          <w:tcPr>
            <w:tcW w:w="2920" w:type="dxa"/>
            <w:tcBorders>
              <w:top w:val="nil"/>
              <w:bottom w:val="nil"/>
            </w:tcBorders>
            <w:shd w:val="clear" w:color="auto" w:fill="D9D9D9" w:themeFill="background1" w:themeFillShade="D9"/>
          </w:tcPr>
          <w:p w14:paraId="2566325D" w14:textId="77777777" w:rsidR="00962D9E" w:rsidRPr="00BD79C4" w:rsidRDefault="00962D9E" w:rsidP="00962D9E">
            <w:pPr>
              <w:pStyle w:val="Akapitzlist"/>
              <w:spacing w:before="40" w:after="0" w:line="240" w:lineRule="auto"/>
              <w:ind w:left="0"/>
              <w:jc w:val="both"/>
              <w:rPr>
                <w:rFonts w:cs="Arial"/>
                <w:sz w:val="20"/>
                <w:szCs w:val="20"/>
              </w:rPr>
            </w:pPr>
          </w:p>
        </w:tc>
        <w:tc>
          <w:tcPr>
            <w:tcW w:w="3099" w:type="dxa"/>
            <w:gridSpan w:val="3"/>
            <w:tcBorders>
              <w:right w:val="single" w:sz="4" w:space="0" w:color="auto"/>
            </w:tcBorders>
          </w:tcPr>
          <w:p w14:paraId="5CA6F2B9" w14:textId="77777777" w:rsidR="00962D9E" w:rsidRPr="00BD79C4" w:rsidRDefault="00962D9E" w:rsidP="00962D9E">
            <w:pPr>
              <w:pStyle w:val="Akapitzlist"/>
              <w:spacing w:before="120" w:after="0" w:line="240" w:lineRule="auto"/>
              <w:ind w:left="0"/>
              <w:jc w:val="both"/>
              <w:rPr>
                <w:rFonts w:cs="Arial"/>
                <w:sz w:val="20"/>
                <w:szCs w:val="20"/>
              </w:rPr>
            </w:pPr>
            <w:r w:rsidRPr="00BD79C4">
              <w:rPr>
                <w:rFonts w:cs="Arial"/>
                <w:sz w:val="20"/>
                <w:szCs w:val="20"/>
              </w:rPr>
              <w:t>warunki ochrony środowiska i zdrowia ludzi, przyrody i krajobrazu</w:t>
            </w:r>
          </w:p>
        </w:tc>
        <w:tc>
          <w:tcPr>
            <w:tcW w:w="3762" w:type="dxa"/>
            <w:gridSpan w:val="3"/>
            <w:tcBorders>
              <w:left w:val="single" w:sz="4" w:space="0" w:color="auto"/>
            </w:tcBorders>
          </w:tcPr>
          <w:p w14:paraId="0BBA945A" w14:textId="77777777" w:rsidR="00962D9E" w:rsidRPr="00BD79C4" w:rsidRDefault="00962D9E" w:rsidP="00962D9E">
            <w:pPr>
              <w:pStyle w:val="Akapitzlist"/>
              <w:numPr>
                <w:ilvl w:val="0"/>
                <w:numId w:val="3"/>
              </w:numPr>
              <w:spacing w:before="30" w:after="0" w:line="240" w:lineRule="auto"/>
              <w:jc w:val="both"/>
              <w:rPr>
                <w:rFonts w:cs="Arial"/>
                <w:sz w:val="20"/>
                <w:szCs w:val="20"/>
              </w:rPr>
            </w:pPr>
            <w:r w:rsidRPr="00BD79C4">
              <w:rPr>
                <w:rFonts w:cs="Arial"/>
                <w:sz w:val="20"/>
                <w:szCs w:val="20"/>
              </w:rPr>
              <w:t>Realizacja planowanej inwestycji nie pozbawia dostępu do drogi publicznej, możliwości korzystania z wody, kanalizacji i energii elektrycznej i cieplnej, środków łączności, a także dostępu do światła dziennego do pomieszczeń przeznaczonych na pobyt ludzi</w:t>
            </w:r>
          </w:p>
          <w:p w14:paraId="0FD9FED0" w14:textId="77777777" w:rsidR="00962D9E" w:rsidRPr="00BD79C4" w:rsidRDefault="00962D9E" w:rsidP="00962D9E">
            <w:pPr>
              <w:pStyle w:val="Akapitzlist"/>
              <w:numPr>
                <w:ilvl w:val="0"/>
                <w:numId w:val="3"/>
              </w:numPr>
              <w:spacing w:before="30" w:after="0" w:line="240" w:lineRule="auto"/>
              <w:jc w:val="both"/>
              <w:rPr>
                <w:rFonts w:cs="Arial"/>
                <w:sz w:val="20"/>
                <w:szCs w:val="20"/>
              </w:rPr>
            </w:pPr>
            <w:r w:rsidRPr="00BD79C4">
              <w:rPr>
                <w:rFonts w:cs="Arial"/>
                <w:sz w:val="20"/>
                <w:szCs w:val="20"/>
              </w:rPr>
              <w:t>Przedmiotowe zamierzenie nie powoduje uciążliwości wywołanych przez hałas o poziomie większym niż dla terenów przeznaczonych pod zabudowę mieszkaniową, zakłócenia elektryczne, a także nie zanieczyszcza powietrza, wody, gleby.</w:t>
            </w:r>
          </w:p>
          <w:p w14:paraId="39113B4B" w14:textId="77777777" w:rsidR="00962D9E" w:rsidRPr="00BD79C4" w:rsidRDefault="00962D9E" w:rsidP="00962D9E">
            <w:pPr>
              <w:pStyle w:val="Akapitzlist"/>
              <w:numPr>
                <w:ilvl w:val="0"/>
                <w:numId w:val="3"/>
              </w:numPr>
              <w:spacing w:before="30" w:after="0" w:line="240" w:lineRule="auto"/>
              <w:jc w:val="both"/>
              <w:rPr>
                <w:rFonts w:cs="Arial"/>
                <w:sz w:val="20"/>
                <w:szCs w:val="20"/>
              </w:rPr>
            </w:pPr>
            <w:r w:rsidRPr="00BD79C4">
              <w:rPr>
                <w:rFonts w:cs="Arial"/>
                <w:sz w:val="20"/>
                <w:szCs w:val="20"/>
              </w:rPr>
              <w:t>Wody deszczowe nie zakłócają stosunków gruntowo- wodnych na działkach sąsiednich,</w:t>
            </w:r>
          </w:p>
          <w:p w14:paraId="10C9DD41" w14:textId="409D55EF" w:rsidR="00962D9E" w:rsidRPr="00440446" w:rsidRDefault="00962D9E" w:rsidP="00440446">
            <w:pPr>
              <w:pStyle w:val="Akapitzlist"/>
              <w:numPr>
                <w:ilvl w:val="0"/>
                <w:numId w:val="3"/>
              </w:numPr>
              <w:spacing w:before="30" w:after="0" w:line="240" w:lineRule="auto"/>
              <w:jc w:val="both"/>
              <w:rPr>
                <w:rFonts w:cs="Arial"/>
                <w:sz w:val="20"/>
                <w:szCs w:val="20"/>
              </w:rPr>
            </w:pPr>
            <w:r w:rsidRPr="00BD79C4">
              <w:rPr>
                <w:rFonts w:cs="Arial"/>
                <w:sz w:val="20"/>
                <w:szCs w:val="20"/>
              </w:rPr>
              <w:t>Z przedmiotowych działek usunięto drzewa, w tym 25 drzew które wymagały zgody Urzędu Gminy Łodygowice nr 165/2021</w:t>
            </w:r>
          </w:p>
        </w:tc>
      </w:tr>
      <w:tr w:rsidR="00BD79C4" w:rsidRPr="00BD79C4" w14:paraId="06F5EB8B" w14:textId="77777777">
        <w:trPr>
          <w:trHeight w:val="59"/>
        </w:trPr>
        <w:tc>
          <w:tcPr>
            <w:tcW w:w="2920" w:type="dxa"/>
            <w:tcBorders>
              <w:top w:val="nil"/>
              <w:bottom w:val="nil"/>
            </w:tcBorders>
            <w:shd w:val="clear" w:color="auto" w:fill="D9D9D9" w:themeFill="background1" w:themeFillShade="D9"/>
          </w:tcPr>
          <w:p w14:paraId="64146E74" w14:textId="77777777" w:rsidR="00962D9E" w:rsidRPr="00BD79C4" w:rsidRDefault="00962D9E" w:rsidP="00962D9E">
            <w:pPr>
              <w:pStyle w:val="Akapitzlist"/>
              <w:spacing w:before="40" w:after="0" w:line="240" w:lineRule="auto"/>
              <w:ind w:left="0"/>
              <w:jc w:val="both"/>
              <w:rPr>
                <w:rFonts w:cs="Arial"/>
                <w:sz w:val="20"/>
                <w:szCs w:val="20"/>
              </w:rPr>
            </w:pPr>
          </w:p>
        </w:tc>
        <w:tc>
          <w:tcPr>
            <w:tcW w:w="3099" w:type="dxa"/>
            <w:gridSpan w:val="3"/>
            <w:tcBorders>
              <w:right w:val="single" w:sz="4" w:space="0" w:color="auto"/>
            </w:tcBorders>
          </w:tcPr>
          <w:p w14:paraId="7EDE3679" w14:textId="77777777" w:rsidR="00962D9E" w:rsidRPr="00BD79C4" w:rsidRDefault="00962D9E" w:rsidP="00962D9E">
            <w:pPr>
              <w:pStyle w:val="Akapitzlist"/>
              <w:spacing w:before="120" w:after="0" w:line="240" w:lineRule="auto"/>
              <w:ind w:left="0"/>
              <w:jc w:val="both"/>
              <w:rPr>
                <w:rFonts w:cs="Arial"/>
                <w:sz w:val="20"/>
                <w:szCs w:val="20"/>
              </w:rPr>
            </w:pPr>
            <w:r w:rsidRPr="00BD79C4">
              <w:rPr>
                <w:rFonts w:cs="Arial"/>
                <w:sz w:val="20"/>
                <w:szCs w:val="20"/>
              </w:rPr>
              <w:t>wymagania dotyczące zabudowy i zagospodarowania terenu położonego na obszarach szczególnego zagrożenia powodzią</w:t>
            </w:r>
          </w:p>
        </w:tc>
        <w:tc>
          <w:tcPr>
            <w:tcW w:w="3762" w:type="dxa"/>
            <w:gridSpan w:val="3"/>
            <w:tcBorders>
              <w:left w:val="single" w:sz="4" w:space="0" w:color="auto"/>
            </w:tcBorders>
          </w:tcPr>
          <w:p w14:paraId="2DDCB419" w14:textId="77777777" w:rsidR="00962D9E" w:rsidRPr="00BD79C4" w:rsidRDefault="00962D9E" w:rsidP="00962D9E">
            <w:pPr>
              <w:spacing w:before="30" w:after="0" w:line="240" w:lineRule="auto"/>
              <w:rPr>
                <w:sz w:val="20"/>
                <w:szCs w:val="20"/>
              </w:rPr>
            </w:pPr>
            <w:r w:rsidRPr="00BD79C4">
              <w:rPr>
                <w:sz w:val="20"/>
                <w:szCs w:val="20"/>
              </w:rPr>
              <w:t>Nie dotyczy</w:t>
            </w:r>
          </w:p>
        </w:tc>
      </w:tr>
      <w:tr w:rsidR="00BD79C4" w:rsidRPr="00BD79C4" w14:paraId="79A791C2" w14:textId="77777777">
        <w:trPr>
          <w:trHeight w:val="59"/>
        </w:trPr>
        <w:tc>
          <w:tcPr>
            <w:tcW w:w="2920" w:type="dxa"/>
            <w:tcBorders>
              <w:top w:val="nil"/>
              <w:bottom w:val="nil"/>
            </w:tcBorders>
            <w:shd w:val="clear" w:color="auto" w:fill="D9D9D9" w:themeFill="background1" w:themeFillShade="D9"/>
          </w:tcPr>
          <w:p w14:paraId="2359D969" w14:textId="77777777" w:rsidR="00962D9E" w:rsidRPr="00BD79C4" w:rsidRDefault="00962D9E" w:rsidP="00962D9E">
            <w:pPr>
              <w:pStyle w:val="Akapitzlist"/>
              <w:spacing w:before="40" w:after="0" w:line="240" w:lineRule="auto"/>
              <w:ind w:left="0"/>
              <w:jc w:val="both"/>
              <w:rPr>
                <w:rFonts w:cs="Arial"/>
                <w:sz w:val="20"/>
                <w:szCs w:val="20"/>
              </w:rPr>
            </w:pPr>
          </w:p>
        </w:tc>
        <w:tc>
          <w:tcPr>
            <w:tcW w:w="3099" w:type="dxa"/>
            <w:gridSpan w:val="3"/>
            <w:tcBorders>
              <w:right w:val="single" w:sz="4" w:space="0" w:color="auto"/>
            </w:tcBorders>
          </w:tcPr>
          <w:p w14:paraId="48F66789" w14:textId="77777777" w:rsidR="00962D9E" w:rsidRPr="00BD79C4" w:rsidRDefault="00962D9E" w:rsidP="00962D9E">
            <w:pPr>
              <w:pStyle w:val="Akapitzlist"/>
              <w:spacing w:before="120" w:after="0" w:line="240" w:lineRule="auto"/>
              <w:ind w:left="0"/>
              <w:jc w:val="both"/>
              <w:rPr>
                <w:rFonts w:cs="Arial"/>
                <w:sz w:val="20"/>
                <w:szCs w:val="20"/>
              </w:rPr>
            </w:pPr>
            <w:r w:rsidRPr="00BD79C4">
              <w:rPr>
                <w:rFonts w:cs="Arial"/>
                <w:sz w:val="20"/>
                <w:szCs w:val="20"/>
              </w:rPr>
              <w:t>Warunki ochrony dziedzictwa kulturowego i zabytków oraz dóbr kultury współczesnej</w:t>
            </w:r>
          </w:p>
        </w:tc>
        <w:tc>
          <w:tcPr>
            <w:tcW w:w="3762" w:type="dxa"/>
            <w:gridSpan w:val="3"/>
            <w:tcBorders>
              <w:left w:val="single" w:sz="4" w:space="0" w:color="auto"/>
            </w:tcBorders>
          </w:tcPr>
          <w:p w14:paraId="2FEEDD2B" w14:textId="77777777" w:rsidR="00962D9E" w:rsidRPr="00BD79C4" w:rsidRDefault="00962D9E" w:rsidP="00962D9E">
            <w:pPr>
              <w:spacing w:before="30" w:after="0" w:line="240" w:lineRule="auto"/>
              <w:rPr>
                <w:sz w:val="20"/>
                <w:szCs w:val="20"/>
              </w:rPr>
            </w:pPr>
            <w:r w:rsidRPr="00BD79C4">
              <w:rPr>
                <w:rFonts w:cs="Arial"/>
                <w:sz w:val="20"/>
                <w:szCs w:val="20"/>
              </w:rPr>
              <w:t>Na przedmiotowej inwestycji znajduje się strefa ochrony archeologicznej, oznaczona symbolem OW3, dla stanowiska archeologicznego nr 3. W obrębie strefy ochrony archeologicznej obowiązują wymagania wynikające z ustawy o ochronie zabytków i opiece nad zabytkami z dnia 23 lipca 2003 r. (</w:t>
            </w:r>
            <w:proofErr w:type="spellStart"/>
            <w:r w:rsidRPr="00BD79C4">
              <w:rPr>
                <w:rFonts w:cs="Arial"/>
                <w:sz w:val="20"/>
                <w:szCs w:val="20"/>
              </w:rPr>
              <w:t>t.j</w:t>
            </w:r>
            <w:proofErr w:type="spellEnd"/>
            <w:r w:rsidRPr="00BD79C4">
              <w:rPr>
                <w:rFonts w:cs="Arial"/>
                <w:sz w:val="20"/>
                <w:szCs w:val="20"/>
              </w:rPr>
              <w:t xml:space="preserve">. Dz.U. z 2017 r. poz. 2187 z </w:t>
            </w:r>
            <w:proofErr w:type="spellStart"/>
            <w:r w:rsidRPr="00BD79C4">
              <w:rPr>
                <w:rFonts w:cs="Arial"/>
                <w:sz w:val="20"/>
                <w:szCs w:val="20"/>
              </w:rPr>
              <w:t>późn</w:t>
            </w:r>
            <w:proofErr w:type="spellEnd"/>
            <w:r w:rsidRPr="00BD79C4">
              <w:rPr>
                <w:rFonts w:cs="Arial"/>
                <w:sz w:val="20"/>
                <w:szCs w:val="20"/>
              </w:rPr>
              <w:t>. zm.), przy czym granica strefy ochrony archeologicznej obejmuje obszar o promieniu 40 m od punktu centralnego stanowiska. Stanowisko archeologiczne oznaczone symbolem st. 3 – Łodygowice st. 3 (AZP 109/49/3) – ślad osadnictwa okres nowożytny</w:t>
            </w:r>
          </w:p>
        </w:tc>
      </w:tr>
      <w:tr w:rsidR="00BD79C4" w:rsidRPr="00BD79C4" w14:paraId="268E8788" w14:textId="77777777">
        <w:trPr>
          <w:trHeight w:val="591"/>
        </w:trPr>
        <w:tc>
          <w:tcPr>
            <w:tcW w:w="2920" w:type="dxa"/>
            <w:tcBorders>
              <w:top w:val="nil"/>
              <w:bottom w:val="nil"/>
            </w:tcBorders>
            <w:shd w:val="clear" w:color="auto" w:fill="D9D9D9" w:themeFill="background1" w:themeFillShade="D9"/>
          </w:tcPr>
          <w:p w14:paraId="2C8FC932" w14:textId="77777777" w:rsidR="00962D9E" w:rsidRPr="00BD79C4" w:rsidRDefault="00962D9E" w:rsidP="00962D9E">
            <w:pPr>
              <w:pStyle w:val="Akapitzlist"/>
              <w:spacing w:before="40" w:after="0" w:line="240" w:lineRule="auto"/>
              <w:ind w:left="0"/>
              <w:jc w:val="both"/>
              <w:rPr>
                <w:rFonts w:cs="Arial"/>
                <w:sz w:val="20"/>
                <w:szCs w:val="20"/>
              </w:rPr>
            </w:pPr>
          </w:p>
        </w:tc>
        <w:tc>
          <w:tcPr>
            <w:tcW w:w="3099" w:type="dxa"/>
            <w:gridSpan w:val="3"/>
            <w:tcBorders>
              <w:right w:val="single" w:sz="4" w:space="0" w:color="auto"/>
            </w:tcBorders>
          </w:tcPr>
          <w:p w14:paraId="2326579C" w14:textId="77777777" w:rsidR="00962D9E" w:rsidRPr="00BD79C4" w:rsidRDefault="00962D9E" w:rsidP="00962D9E">
            <w:pPr>
              <w:pStyle w:val="Akapitzlist"/>
              <w:spacing w:before="120" w:after="0" w:line="240" w:lineRule="auto"/>
              <w:ind w:left="0"/>
              <w:jc w:val="both"/>
              <w:rPr>
                <w:rFonts w:cs="Arial"/>
                <w:sz w:val="20"/>
                <w:szCs w:val="20"/>
              </w:rPr>
            </w:pPr>
            <w:r w:rsidRPr="00BD79C4">
              <w:rPr>
                <w:rFonts w:cs="Arial"/>
                <w:sz w:val="20"/>
                <w:szCs w:val="20"/>
              </w:rPr>
              <w:t>Wymagania dotyczące ochrony innych terenów lub obiektów podlegających ochronie na podstawie przepisów odrębnych</w:t>
            </w:r>
          </w:p>
        </w:tc>
        <w:tc>
          <w:tcPr>
            <w:tcW w:w="3762" w:type="dxa"/>
            <w:gridSpan w:val="3"/>
            <w:tcBorders>
              <w:left w:val="single" w:sz="4" w:space="0" w:color="auto"/>
            </w:tcBorders>
          </w:tcPr>
          <w:p w14:paraId="10FBCA5A" w14:textId="77777777" w:rsidR="00962D9E" w:rsidRPr="00BD79C4" w:rsidRDefault="00962D9E" w:rsidP="00962D9E">
            <w:pPr>
              <w:spacing w:before="30" w:after="0" w:line="240" w:lineRule="auto"/>
              <w:rPr>
                <w:sz w:val="20"/>
                <w:szCs w:val="20"/>
              </w:rPr>
            </w:pPr>
            <w:r w:rsidRPr="00BD79C4">
              <w:rPr>
                <w:sz w:val="20"/>
                <w:szCs w:val="20"/>
              </w:rPr>
              <w:t>Nie dotyczy</w:t>
            </w:r>
          </w:p>
        </w:tc>
      </w:tr>
      <w:tr w:rsidR="00BD79C4" w:rsidRPr="00BD79C4" w14:paraId="45D1E239" w14:textId="77777777">
        <w:trPr>
          <w:trHeight w:val="591"/>
        </w:trPr>
        <w:tc>
          <w:tcPr>
            <w:tcW w:w="2920" w:type="dxa"/>
            <w:tcBorders>
              <w:top w:val="nil"/>
              <w:bottom w:val="nil"/>
            </w:tcBorders>
            <w:shd w:val="clear" w:color="auto" w:fill="D9D9D9" w:themeFill="background1" w:themeFillShade="D9"/>
          </w:tcPr>
          <w:p w14:paraId="44F24605" w14:textId="77777777" w:rsidR="00962D9E" w:rsidRPr="00BD79C4" w:rsidRDefault="00962D9E" w:rsidP="00962D9E">
            <w:pPr>
              <w:pStyle w:val="Akapitzlist"/>
              <w:spacing w:before="40" w:after="0" w:line="240" w:lineRule="auto"/>
              <w:ind w:left="0"/>
              <w:jc w:val="both"/>
              <w:rPr>
                <w:rFonts w:cs="Arial"/>
                <w:sz w:val="20"/>
                <w:szCs w:val="20"/>
              </w:rPr>
            </w:pPr>
          </w:p>
        </w:tc>
        <w:tc>
          <w:tcPr>
            <w:tcW w:w="3099" w:type="dxa"/>
            <w:gridSpan w:val="3"/>
            <w:tcBorders>
              <w:right w:val="single" w:sz="4" w:space="0" w:color="auto"/>
            </w:tcBorders>
          </w:tcPr>
          <w:p w14:paraId="1D7510F3" w14:textId="77777777" w:rsidR="00962D9E" w:rsidRPr="00BD79C4" w:rsidRDefault="00962D9E" w:rsidP="00962D9E">
            <w:pPr>
              <w:pStyle w:val="Akapitzlist"/>
              <w:spacing w:before="120" w:after="0" w:line="240" w:lineRule="auto"/>
              <w:ind w:left="0"/>
              <w:jc w:val="both"/>
              <w:rPr>
                <w:rFonts w:cs="Arial"/>
                <w:sz w:val="20"/>
                <w:szCs w:val="20"/>
              </w:rPr>
            </w:pPr>
            <w:r w:rsidRPr="00BD79C4">
              <w:rPr>
                <w:rFonts w:cs="Arial"/>
                <w:sz w:val="20"/>
                <w:szCs w:val="20"/>
              </w:rPr>
              <w:t>Warunki i szczegółowe zasady obsługi w zakresie komunikacji.</w:t>
            </w:r>
          </w:p>
        </w:tc>
        <w:tc>
          <w:tcPr>
            <w:tcW w:w="3762" w:type="dxa"/>
            <w:gridSpan w:val="3"/>
            <w:tcBorders>
              <w:left w:val="single" w:sz="4" w:space="0" w:color="auto"/>
            </w:tcBorders>
          </w:tcPr>
          <w:p w14:paraId="2F17F9AB" w14:textId="77777777" w:rsidR="00962D9E" w:rsidRPr="00BD79C4" w:rsidRDefault="00962D9E" w:rsidP="00962D9E">
            <w:pPr>
              <w:spacing w:before="30" w:after="0" w:line="240" w:lineRule="auto"/>
              <w:rPr>
                <w:sz w:val="20"/>
                <w:szCs w:val="20"/>
              </w:rPr>
            </w:pPr>
            <w:r w:rsidRPr="00BD79C4">
              <w:rPr>
                <w:rFonts w:cs="Arial"/>
                <w:sz w:val="20"/>
                <w:szCs w:val="20"/>
              </w:rPr>
              <w:t>Obszar obsługiwany jest przez system dróg publicznych oznaczonych symbolami 6KDL, 7KDL, 8KDL, 9KDL, 40KDD i 60KDD</w:t>
            </w:r>
          </w:p>
        </w:tc>
      </w:tr>
      <w:tr w:rsidR="00BD79C4" w:rsidRPr="00BD79C4" w14:paraId="27B56BD6" w14:textId="77777777">
        <w:trPr>
          <w:trHeight w:val="59"/>
        </w:trPr>
        <w:tc>
          <w:tcPr>
            <w:tcW w:w="2920" w:type="dxa"/>
            <w:tcBorders>
              <w:top w:val="nil"/>
              <w:bottom w:val="nil"/>
            </w:tcBorders>
            <w:shd w:val="clear" w:color="auto" w:fill="D9D9D9" w:themeFill="background1" w:themeFillShade="D9"/>
          </w:tcPr>
          <w:p w14:paraId="1FE07B07" w14:textId="77777777" w:rsidR="00962D9E" w:rsidRPr="00BD79C4" w:rsidRDefault="00962D9E" w:rsidP="00962D9E">
            <w:pPr>
              <w:pStyle w:val="Akapitzlist"/>
              <w:spacing w:before="40" w:after="0" w:line="240" w:lineRule="auto"/>
              <w:ind w:left="0"/>
              <w:jc w:val="both"/>
              <w:rPr>
                <w:rFonts w:cs="Arial"/>
                <w:sz w:val="20"/>
                <w:szCs w:val="20"/>
              </w:rPr>
            </w:pPr>
          </w:p>
        </w:tc>
        <w:tc>
          <w:tcPr>
            <w:tcW w:w="3099" w:type="dxa"/>
            <w:gridSpan w:val="3"/>
            <w:tcBorders>
              <w:right w:val="single" w:sz="4" w:space="0" w:color="auto"/>
            </w:tcBorders>
          </w:tcPr>
          <w:p w14:paraId="01DC789D" w14:textId="77777777" w:rsidR="00962D9E" w:rsidRPr="00BD79C4" w:rsidRDefault="00962D9E" w:rsidP="00962D9E">
            <w:pPr>
              <w:pStyle w:val="Akapitzlist"/>
              <w:spacing w:before="120" w:after="0" w:line="240" w:lineRule="auto"/>
              <w:ind w:left="0"/>
              <w:jc w:val="both"/>
              <w:rPr>
                <w:rFonts w:cs="Arial"/>
                <w:sz w:val="20"/>
                <w:szCs w:val="20"/>
              </w:rPr>
            </w:pPr>
            <w:r w:rsidRPr="00BD79C4">
              <w:rPr>
                <w:rFonts w:cs="Arial"/>
                <w:sz w:val="20"/>
                <w:szCs w:val="20"/>
              </w:rPr>
              <w:t>Warunki i szczegółowe zasady obsługi w zakresie infrastruktury technicznej</w:t>
            </w:r>
          </w:p>
          <w:p w14:paraId="020BD3F0" w14:textId="77777777" w:rsidR="00962D9E" w:rsidRPr="00BD79C4" w:rsidRDefault="00962D9E" w:rsidP="00962D9E">
            <w:pPr>
              <w:pStyle w:val="Akapitzlist"/>
              <w:spacing w:before="120" w:after="0" w:line="240" w:lineRule="auto"/>
              <w:ind w:left="0"/>
              <w:jc w:val="both"/>
              <w:rPr>
                <w:rFonts w:cs="Arial"/>
                <w:sz w:val="20"/>
                <w:szCs w:val="20"/>
              </w:rPr>
            </w:pPr>
          </w:p>
          <w:p w14:paraId="1ACE5ACF" w14:textId="77777777" w:rsidR="00962D9E" w:rsidRPr="00BD79C4" w:rsidRDefault="00962D9E" w:rsidP="00962D9E">
            <w:pPr>
              <w:pStyle w:val="Akapitzlist"/>
              <w:spacing w:before="120" w:after="0" w:line="240" w:lineRule="auto"/>
              <w:ind w:left="0"/>
              <w:jc w:val="both"/>
              <w:rPr>
                <w:rFonts w:cs="Arial"/>
                <w:sz w:val="20"/>
                <w:szCs w:val="20"/>
              </w:rPr>
            </w:pPr>
          </w:p>
          <w:p w14:paraId="797E7FA6" w14:textId="77777777" w:rsidR="00962D9E" w:rsidRPr="00BD79C4" w:rsidRDefault="00962D9E" w:rsidP="00962D9E">
            <w:pPr>
              <w:pStyle w:val="Akapitzlist"/>
              <w:spacing w:before="120" w:after="0" w:line="240" w:lineRule="auto"/>
              <w:ind w:left="0"/>
              <w:jc w:val="both"/>
              <w:rPr>
                <w:rFonts w:cs="Arial"/>
                <w:sz w:val="20"/>
                <w:szCs w:val="20"/>
              </w:rPr>
            </w:pPr>
          </w:p>
        </w:tc>
        <w:tc>
          <w:tcPr>
            <w:tcW w:w="3762" w:type="dxa"/>
            <w:gridSpan w:val="3"/>
            <w:tcBorders>
              <w:left w:val="single" w:sz="4" w:space="0" w:color="auto"/>
            </w:tcBorders>
          </w:tcPr>
          <w:p w14:paraId="04F3EE4E" w14:textId="77777777" w:rsidR="00962D9E" w:rsidRPr="00BD79C4" w:rsidRDefault="00962D9E" w:rsidP="00962D9E">
            <w:pPr>
              <w:spacing w:before="30" w:after="0" w:line="240" w:lineRule="auto"/>
              <w:rPr>
                <w:sz w:val="20"/>
                <w:szCs w:val="20"/>
              </w:rPr>
            </w:pPr>
            <w:r w:rsidRPr="00BD79C4">
              <w:rPr>
                <w:sz w:val="20"/>
                <w:szCs w:val="20"/>
              </w:rPr>
              <w:t>Przewiduje się wykonanie nowych przyłączy sieci infrastruktury:</w:t>
            </w:r>
          </w:p>
          <w:p w14:paraId="1D09E880" w14:textId="77777777" w:rsidR="00962D9E" w:rsidRPr="00BD79C4" w:rsidRDefault="00962D9E" w:rsidP="00962D9E">
            <w:pPr>
              <w:pStyle w:val="Akapitzlist"/>
              <w:numPr>
                <w:ilvl w:val="0"/>
                <w:numId w:val="3"/>
              </w:numPr>
              <w:spacing w:before="30" w:after="0" w:line="240" w:lineRule="auto"/>
              <w:rPr>
                <w:sz w:val="20"/>
                <w:szCs w:val="20"/>
              </w:rPr>
            </w:pPr>
            <w:r w:rsidRPr="00BD79C4">
              <w:rPr>
                <w:b/>
                <w:bCs/>
                <w:sz w:val="20"/>
                <w:szCs w:val="20"/>
              </w:rPr>
              <w:t>Energetyczne-</w:t>
            </w:r>
            <w:r w:rsidRPr="00BD79C4">
              <w:rPr>
                <w:sz w:val="20"/>
                <w:szCs w:val="20"/>
              </w:rPr>
              <w:t xml:space="preserve"> przyłącze kablowe do kablowej sieci gminnej w administracji TAURON S.A. Projektowanie złącza kablowe ustawione przy budynkach. Projekty przyłączy wg. Odrębnego opracowania.</w:t>
            </w:r>
          </w:p>
          <w:p w14:paraId="202938E4" w14:textId="77777777" w:rsidR="00962D9E" w:rsidRPr="00BD79C4" w:rsidRDefault="00962D9E" w:rsidP="00962D9E">
            <w:pPr>
              <w:pStyle w:val="Akapitzlist"/>
              <w:numPr>
                <w:ilvl w:val="0"/>
                <w:numId w:val="3"/>
              </w:numPr>
              <w:spacing w:before="30" w:after="0" w:line="240" w:lineRule="auto"/>
              <w:rPr>
                <w:sz w:val="20"/>
                <w:szCs w:val="20"/>
              </w:rPr>
            </w:pPr>
            <w:r w:rsidRPr="00BD79C4">
              <w:rPr>
                <w:b/>
                <w:bCs/>
                <w:sz w:val="20"/>
                <w:szCs w:val="20"/>
              </w:rPr>
              <w:t>Wodociągowa-</w:t>
            </w:r>
            <w:r w:rsidRPr="00BD79C4">
              <w:rPr>
                <w:sz w:val="20"/>
                <w:szCs w:val="20"/>
              </w:rPr>
              <w:t xml:space="preserve"> przyłącza do sieci gminnej przebiegającej w pasie drogi dojazdowej. Wodomierze umieszczone w pomieszczeniach technicznych. Projekty nowych przyłączy wg. Odrębnego opracowania.</w:t>
            </w:r>
          </w:p>
          <w:p w14:paraId="687833C1" w14:textId="77777777" w:rsidR="00962D9E" w:rsidRPr="00BD79C4" w:rsidRDefault="00962D9E" w:rsidP="00962D9E">
            <w:pPr>
              <w:pStyle w:val="Akapitzlist"/>
              <w:numPr>
                <w:ilvl w:val="0"/>
                <w:numId w:val="3"/>
              </w:numPr>
              <w:spacing w:before="30" w:after="0" w:line="240" w:lineRule="auto"/>
              <w:rPr>
                <w:sz w:val="20"/>
                <w:szCs w:val="20"/>
              </w:rPr>
            </w:pPr>
            <w:r w:rsidRPr="00BD79C4">
              <w:rPr>
                <w:b/>
                <w:bCs/>
                <w:sz w:val="20"/>
                <w:szCs w:val="20"/>
              </w:rPr>
              <w:t xml:space="preserve">Kanalizacji sanitarnej – </w:t>
            </w:r>
            <w:r w:rsidRPr="00BD79C4">
              <w:rPr>
                <w:sz w:val="20"/>
                <w:szCs w:val="20"/>
              </w:rPr>
              <w:t xml:space="preserve"> przyłącza do sieci gminnej przebiegającej po przedmiotowej działce. Projekty przyłączy wg. Odrębnego opracowania.</w:t>
            </w:r>
          </w:p>
          <w:p w14:paraId="66666467" w14:textId="77777777" w:rsidR="00962D9E" w:rsidRPr="00BD79C4" w:rsidRDefault="00962D9E" w:rsidP="00962D9E">
            <w:pPr>
              <w:pStyle w:val="Akapitzlist"/>
              <w:numPr>
                <w:ilvl w:val="0"/>
                <w:numId w:val="3"/>
              </w:numPr>
              <w:spacing w:before="30" w:after="0" w:line="240" w:lineRule="auto"/>
              <w:rPr>
                <w:sz w:val="20"/>
                <w:szCs w:val="20"/>
              </w:rPr>
            </w:pPr>
            <w:r w:rsidRPr="00BD79C4">
              <w:rPr>
                <w:b/>
                <w:bCs/>
                <w:sz w:val="20"/>
                <w:szCs w:val="20"/>
              </w:rPr>
              <w:t>Odprowadzanie wód deszczowych-</w:t>
            </w:r>
          </w:p>
          <w:p w14:paraId="0126B5D6" w14:textId="77777777" w:rsidR="00962D9E" w:rsidRPr="00BD79C4" w:rsidRDefault="00962D9E" w:rsidP="00962D9E">
            <w:pPr>
              <w:pStyle w:val="Akapitzlist"/>
              <w:spacing w:before="30" w:after="0" w:line="240" w:lineRule="auto"/>
              <w:ind w:left="380"/>
              <w:rPr>
                <w:sz w:val="20"/>
                <w:szCs w:val="20"/>
              </w:rPr>
            </w:pPr>
            <w:r w:rsidRPr="00BD79C4">
              <w:rPr>
                <w:sz w:val="20"/>
                <w:szCs w:val="20"/>
              </w:rPr>
              <w:t xml:space="preserve">Projektowane odprowadzanie wód opadowych z powierzchni dachowych i utwardzonego placu manewrowego powierzchniowo na teren biologicznie czynny na przedmiotowej działce do potoku </w:t>
            </w:r>
            <w:proofErr w:type="spellStart"/>
            <w:r w:rsidRPr="00BD79C4">
              <w:rPr>
                <w:sz w:val="20"/>
                <w:szCs w:val="20"/>
              </w:rPr>
              <w:t>Godziszanki</w:t>
            </w:r>
            <w:proofErr w:type="spellEnd"/>
            <w:r w:rsidRPr="00BD79C4">
              <w:rPr>
                <w:sz w:val="20"/>
                <w:szCs w:val="20"/>
              </w:rPr>
              <w:t xml:space="preserve"> zgodnie z pozwoleniem wodno-prawnym o nr KR.ZUZ.5.4210.5.94.2021.MOG. Projektowane odprowadzenie wód opadowych nie zakłóci stosunków wodnych w działkach sąsiadów.</w:t>
            </w:r>
          </w:p>
          <w:p w14:paraId="451A943B" w14:textId="77777777" w:rsidR="00962D9E" w:rsidRPr="00BD79C4" w:rsidRDefault="00962D9E" w:rsidP="00962D9E">
            <w:pPr>
              <w:pStyle w:val="Akapitzlist"/>
              <w:spacing w:before="30" w:after="0" w:line="240" w:lineRule="auto"/>
              <w:ind w:left="380"/>
              <w:rPr>
                <w:sz w:val="20"/>
                <w:szCs w:val="20"/>
              </w:rPr>
            </w:pPr>
            <w:r w:rsidRPr="00BD79C4">
              <w:rPr>
                <w:sz w:val="20"/>
                <w:szCs w:val="20"/>
              </w:rPr>
              <w:t>Opłatę za odprowadzanie wód deszczowych zostanie scedowanie na klienta. Opłata wód deszczowych dla Spółki Wody Polskie.</w:t>
            </w:r>
          </w:p>
        </w:tc>
      </w:tr>
      <w:tr w:rsidR="00BD79C4" w:rsidRPr="00BD79C4" w14:paraId="1EDA2561" w14:textId="77777777">
        <w:trPr>
          <w:trHeight w:val="59"/>
        </w:trPr>
        <w:tc>
          <w:tcPr>
            <w:tcW w:w="2920" w:type="dxa"/>
            <w:tcBorders>
              <w:top w:val="nil"/>
              <w:bottom w:val="nil"/>
            </w:tcBorders>
            <w:shd w:val="clear" w:color="auto" w:fill="D9D9D9" w:themeFill="background1" w:themeFillShade="D9"/>
          </w:tcPr>
          <w:p w14:paraId="75F6ABDC" w14:textId="77777777" w:rsidR="00962D9E" w:rsidRPr="00BD79C4" w:rsidRDefault="00962D9E" w:rsidP="00962D9E">
            <w:pPr>
              <w:pStyle w:val="Akapitzlist"/>
              <w:spacing w:before="40" w:after="0" w:line="240" w:lineRule="auto"/>
              <w:ind w:left="0"/>
              <w:jc w:val="both"/>
              <w:rPr>
                <w:rFonts w:cs="Arial"/>
                <w:sz w:val="20"/>
                <w:szCs w:val="20"/>
              </w:rPr>
            </w:pPr>
          </w:p>
        </w:tc>
        <w:tc>
          <w:tcPr>
            <w:tcW w:w="3099" w:type="dxa"/>
            <w:gridSpan w:val="3"/>
            <w:tcBorders>
              <w:right w:val="single" w:sz="4" w:space="0" w:color="auto"/>
            </w:tcBorders>
          </w:tcPr>
          <w:p w14:paraId="132BFCD4" w14:textId="77777777" w:rsidR="00962D9E" w:rsidRPr="00BD79C4" w:rsidRDefault="00962D9E" w:rsidP="00962D9E">
            <w:pPr>
              <w:pStyle w:val="Akapitzlist"/>
              <w:spacing w:before="120" w:after="0" w:line="240" w:lineRule="auto"/>
              <w:ind w:left="0"/>
              <w:jc w:val="both"/>
              <w:rPr>
                <w:rFonts w:cs="Arial"/>
                <w:sz w:val="20"/>
                <w:szCs w:val="20"/>
              </w:rPr>
            </w:pPr>
            <w:r w:rsidRPr="00BD79C4">
              <w:rPr>
                <w:rFonts w:cs="Arial"/>
                <w:sz w:val="20"/>
                <w:szCs w:val="20"/>
              </w:rPr>
              <w:t>Minimalny udział procentowy powierzchni biologicznie czynnej</w:t>
            </w:r>
          </w:p>
        </w:tc>
        <w:tc>
          <w:tcPr>
            <w:tcW w:w="3762" w:type="dxa"/>
            <w:gridSpan w:val="3"/>
            <w:tcBorders>
              <w:left w:val="single" w:sz="4" w:space="0" w:color="auto"/>
            </w:tcBorders>
          </w:tcPr>
          <w:p w14:paraId="198F05B1" w14:textId="77777777" w:rsidR="00962D9E" w:rsidRPr="00BD79C4" w:rsidRDefault="00962D9E" w:rsidP="00962D9E">
            <w:pPr>
              <w:spacing w:before="30" w:after="0" w:line="240" w:lineRule="auto"/>
              <w:rPr>
                <w:sz w:val="20"/>
                <w:szCs w:val="20"/>
              </w:rPr>
            </w:pPr>
            <w:r w:rsidRPr="00BD79C4">
              <w:rPr>
                <w:sz w:val="20"/>
                <w:szCs w:val="20"/>
              </w:rPr>
              <w:t>Udział procentowy powierzchni biologicznie czynnej w odniesieniu do powierzchni działki budowlanej : min. 30%</w:t>
            </w:r>
          </w:p>
        </w:tc>
      </w:tr>
      <w:tr w:rsidR="00BD79C4" w:rsidRPr="00BD79C4" w14:paraId="2017D429" w14:textId="77777777">
        <w:trPr>
          <w:trHeight w:val="59"/>
        </w:trPr>
        <w:tc>
          <w:tcPr>
            <w:tcW w:w="2920" w:type="dxa"/>
            <w:tcBorders>
              <w:top w:val="nil"/>
              <w:bottom w:val="nil"/>
            </w:tcBorders>
            <w:shd w:val="clear" w:color="auto" w:fill="D9D9D9" w:themeFill="background1" w:themeFillShade="D9"/>
          </w:tcPr>
          <w:p w14:paraId="31D8B80E" w14:textId="77777777" w:rsidR="00962D9E" w:rsidRPr="00BD79C4" w:rsidRDefault="00962D9E" w:rsidP="00962D9E">
            <w:pPr>
              <w:pStyle w:val="Akapitzlist"/>
              <w:spacing w:before="40" w:after="0" w:line="240" w:lineRule="auto"/>
              <w:ind w:left="0"/>
              <w:jc w:val="both"/>
              <w:rPr>
                <w:rFonts w:cs="Arial"/>
                <w:sz w:val="20"/>
                <w:szCs w:val="20"/>
              </w:rPr>
            </w:pPr>
          </w:p>
        </w:tc>
        <w:tc>
          <w:tcPr>
            <w:tcW w:w="3099" w:type="dxa"/>
            <w:gridSpan w:val="3"/>
            <w:tcBorders>
              <w:right w:val="single" w:sz="4" w:space="0" w:color="auto"/>
            </w:tcBorders>
          </w:tcPr>
          <w:p w14:paraId="6219C54E" w14:textId="77777777" w:rsidR="00962D9E" w:rsidRPr="00BD79C4" w:rsidRDefault="00962D9E" w:rsidP="00962D9E">
            <w:pPr>
              <w:pStyle w:val="Akapitzlist"/>
              <w:spacing w:before="120" w:after="0" w:line="240" w:lineRule="auto"/>
              <w:ind w:left="0"/>
              <w:jc w:val="both"/>
              <w:rPr>
                <w:rFonts w:cs="Arial"/>
                <w:sz w:val="20"/>
                <w:szCs w:val="20"/>
              </w:rPr>
            </w:pPr>
            <w:r w:rsidRPr="00BD79C4">
              <w:rPr>
                <w:rFonts w:cs="Arial"/>
                <w:sz w:val="20"/>
                <w:szCs w:val="20"/>
              </w:rPr>
              <w:t>Nadziemna intensywność zabudowy</w:t>
            </w:r>
          </w:p>
        </w:tc>
        <w:tc>
          <w:tcPr>
            <w:tcW w:w="3762" w:type="dxa"/>
            <w:gridSpan w:val="3"/>
            <w:tcBorders>
              <w:left w:val="single" w:sz="4" w:space="0" w:color="auto"/>
            </w:tcBorders>
          </w:tcPr>
          <w:p w14:paraId="11B32179" w14:textId="77777777" w:rsidR="00962D9E" w:rsidRPr="00BD79C4" w:rsidRDefault="00962D9E" w:rsidP="00962D9E">
            <w:pPr>
              <w:spacing w:before="30" w:after="0" w:line="240" w:lineRule="auto"/>
              <w:rPr>
                <w:sz w:val="20"/>
                <w:szCs w:val="20"/>
              </w:rPr>
            </w:pPr>
            <w:r w:rsidRPr="00BD79C4">
              <w:rPr>
                <w:sz w:val="20"/>
                <w:szCs w:val="20"/>
              </w:rPr>
              <w:t xml:space="preserve">Nie dotyczy </w:t>
            </w:r>
          </w:p>
        </w:tc>
      </w:tr>
      <w:tr w:rsidR="00BD79C4" w:rsidRPr="00BD79C4" w14:paraId="6F451DCE" w14:textId="77777777">
        <w:trPr>
          <w:trHeight w:val="59"/>
        </w:trPr>
        <w:tc>
          <w:tcPr>
            <w:tcW w:w="2920" w:type="dxa"/>
            <w:tcBorders>
              <w:top w:val="nil"/>
              <w:bottom w:val="nil"/>
            </w:tcBorders>
            <w:shd w:val="clear" w:color="auto" w:fill="D9D9D9" w:themeFill="background1" w:themeFillShade="D9"/>
          </w:tcPr>
          <w:p w14:paraId="4D32DB05" w14:textId="77777777" w:rsidR="00962D9E" w:rsidRPr="00BD79C4" w:rsidRDefault="00962D9E" w:rsidP="00962D9E">
            <w:pPr>
              <w:pStyle w:val="Akapitzlist"/>
              <w:spacing w:before="40" w:after="0" w:line="240" w:lineRule="auto"/>
              <w:ind w:left="0"/>
              <w:jc w:val="both"/>
              <w:rPr>
                <w:rFonts w:cs="Arial"/>
                <w:sz w:val="20"/>
                <w:szCs w:val="20"/>
              </w:rPr>
            </w:pPr>
          </w:p>
        </w:tc>
        <w:tc>
          <w:tcPr>
            <w:tcW w:w="3099" w:type="dxa"/>
            <w:gridSpan w:val="3"/>
            <w:tcBorders>
              <w:right w:val="single" w:sz="4" w:space="0" w:color="auto"/>
            </w:tcBorders>
          </w:tcPr>
          <w:p w14:paraId="33093C83" w14:textId="77777777" w:rsidR="00962D9E" w:rsidRPr="00BD79C4" w:rsidRDefault="00962D9E" w:rsidP="00962D9E">
            <w:pPr>
              <w:pStyle w:val="Akapitzlist"/>
              <w:spacing w:before="120" w:after="0" w:line="240" w:lineRule="auto"/>
              <w:ind w:left="0"/>
              <w:jc w:val="both"/>
              <w:rPr>
                <w:rFonts w:cs="Arial"/>
                <w:sz w:val="20"/>
                <w:szCs w:val="20"/>
              </w:rPr>
            </w:pPr>
            <w:r w:rsidRPr="00BD79C4">
              <w:rPr>
                <w:rFonts w:cs="Arial"/>
                <w:sz w:val="20"/>
                <w:szCs w:val="20"/>
              </w:rPr>
              <w:t>Wysokość zabudowy</w:t>
            </w:r>
          </w:p>
        </w:tc>
        <w:tc>
          <w:tcPr>
            <w:tcW w:w="3762" w:type="dxa"/>
            <w:gridSpan w:val="3"/>
            <w:tcBorders>
              <w:left w:val="single" w:sz="4" w:space="0" w:color="auto"/>
            </w:tcBorders>
          </w:tcPr>
          <w:p w14:paraId="04634470" w14:textId="77777777" w:rsidR="00962D9E" w:rsidRPr="00BD79C4" w:rsidRDefault="00962D9E" w:rsidP="00962D9E">
            <w:pPr>
              <w:spacing w:before="30" w:after="0" w:line="240" w:lineRule="auto"/>
              <w:rPr>
                <w:sz w:val="20"/>
                <w:szCs w:val="20"/>
              </w:rPr>
            </w:pPr>
            <w:r w:rsidRPr="00BD79C4">
              <w:rPr>
                <w:sz w:val="20"/>
                <w:szCs w:val="20"/>
              </w:rPr>
              <w:t>Budynków mieszkalnych jednorodzinnych  i zabudowy zagrodowej wynosi : maks. 12 m</w:t>
            </w:r>
          </w:p>
        </w:tc>
      </w:tr>
      <w:tr w:rsidR="00BD79C4" w:rsidRPr="00BD79C4" w14:paraId="4FC2AC03" w14:textId="77777777">
        <w:trPr>
          <w:trHeight w:val="612"/>
        </w:trPr>
        <w:tc>
          <w:tcPr>
            <w:tcW w:w="2920" w:type="dxa"/>
            <w:shd w:val="clear" w:color="auto" w:fill="D9D9D9" w:themeFill="background1" w:themeFillShade="D9"/>
          </w:tcPr>
          <w:p w14:paraId="49954C9D" w14:textId="77777777" w:rsidR="00962D9E" w:rsidRPr="00BD79C4" w:rsidRDefault="00962D9E" w:rsidP="00962D9E">
            <w:pPr>
              <w:pStyle w:val="Akapitzlist"/>
              <w:spacing w:before="40" w:after="0" w:line="240" w:lineRule="auto"/>
              <w:ind w:left="0"/>
              <w:jc w:val="both"/>
              <w:rPr>
                <w:rFonts w:cs="Arial"/>
                <w:sz w:val="20"/>
                <w:szCs w:val="20"/>
              </w:rPr>
            </w:pPr>
            <w:r w:rsidRPr="00BD79C4">
              <w:rPr>
                <w:rFonts w:cs="Arial"/>
                <w:sz w:val="20"/>
                <w:szCs w:val="20"/>
              </w:rPr>
              <w:t>Informacje dotyczące przewidywanych inwestycji w promieniu 1 km od terenu objętego przedsięwzięciem deweloperskim lub zadaniem inwestycyjnym</w:t>
            </w:r>
            <w:r w:rsidRPr="00BD79C4">
              <w:rPr>
                <w:rStyle w:val="Odwoanieprzypisudolnego"/>
                <w:rFonts w:cs="Arial"/>
                <w:sz w:val="20"/>
                <w:szCs w:val="20"/>
              </w:rPr>
              <w:footnoteReference w:id="6"/>
            </w:r>
            <w:r w:rsidRPr="00BD79C4">
              <w:rPr>
                <w:rFonts w:cs="Arial"/>
                <w:sz w:val="20"/>
                <w:szCs w:val="20"/>
              </w:rPr>
              <w:t>, zawarte w:</w:t>
            </w:r>
          </w:p>
        </w:tc>
        <w:tc>
          <w:tcPr>
            <w:tcW w:w="3099" w:type="dxa"/>
            <w:gridSpan w:val="3"/>
            <w:tcBorders>
              <w:bottom w:val="single" w:sz="4" w:space="0" w:color="auto"/>
            </w:tcBorders>
          </w:tcPr>
          <w:p w14:paraId="7FA908B6" w14:textId="77777777" w:rsidR="00962D9E" w:rsidRPr="00BD79C4" w:rsidRDefault="00962D9E" w:rsidP="00962D9E">
            <w:pPr>
              <w:shd w:val="clear" w:color="auto" w:fill="FFFFFF"/>
              <w:spacing w:before="30" w:after="0" w:line="240" w:lineRule="auto"/>
              <w:jc w:val="both"/>
              <w:rPr>
                <w:rFonts w:cs="Arial"/>
                <w:sz w:val="20"/>
                <w:szCs w:val="20"/>
              </w:rPr>
            </w:pPr>
            <w:r w:rsidRPr="00BD79C4">
              <w:rPr>
                <w:rFonts w:cs="Arial"/>
                <w:sz w:val="20"/>
                <w:szCs w:val="20"/>
              </w:rPr>
              <w:t xml:space="preserve">miejscowych planach zagospodarowania przestrzennego </w:t>
            </w:r>
          </w:p>
        </w:tc>
        <w:tc>
          <w:tcPr>
            <w:tcW w:w="3762" w:type="dxa"/>
            <w:gridSpan w:val="3"/>
            <w:tcBorders>
              <w:bottom w:val="single" w:sz="4" w:space="0" w:color="auto"/>
            </w:tcBorders>
          </w:tcPr>
          <w:p w14:paraId="12C01A9E" w14:textId="77777777" w:rsidR="00962D9E" w:rsidRPr="00BD79C4" w:rsidRDefault="00962D9E" w:rsidP="00962D9E">
            <w:pPr>
              <w:shd w:val="clear" w:color="auto" w:fill="FFFFFF"/>
              <w:spacing w:before="30" w:after="0" w:line="240" w:lineRule="auto"/>
              <w:jc w:val="both"/>
              <w:rPr>
                <w:rFonts w:cs="Arial"/>
                <w:sz w:val="20"/>
                <w:szCs w:val="20"/>
              </w:rPr>
            </w:pPr>
            <w:r w:rsidRPr="00BD79C4">
              <w:rPr>
                <w:rFonts w:cs="Arial"/>
                <w:sz w:val="20"/>
                <w:szCs w:val="20"/>
              </w:rPr>
              <w:t>Miejscowy plan zagospodarowania przestrzennego .RIP.6727. 2.69.2020 SK</w:t>
            </w:r>
          </w:p>
          <w:p w14:paraId="6EC9D379" w14:textId="77777777" w:rsidR="00962D9E" w:rsidRPr="00BD79C4" w:rsidRDefault="00962D9E" w:rsidP="00962D9E">
            <w:pPr>
              <w:shd w:val="clear" w:color="auto" w:fill="FFFFFF"/>
              <w:spacing w:before="30" w:after="0" w:line="240" w:lineRule="auto"/>
              <w:jc w:val="both"/>
              <w:rPr>
                <w:rFonts w:cs="Arial"/>
                <w:sz w:val="20"/>
                <w:szCs w:val="20"/>
              </w:rPr>
            </w:pPr>
            <w:r w:rsidRPr="00BD79C4">
              <w:rPr>
                <w:rFonts w:cs="Arial"/>
                <w:sz w:val="20"/>
                <w:szCs w:val="20"/>
              </w:rPr>
              <w:t>Uchwala rady Gminy Łodygowice nr XXXIV/373/2018 z dnia 2018-07-26 w sprawie uchwalenia miejscowego planu zagospodarowania przestrzennego gminy Łodygowice ogłoszony w dzienniku Województwa Śląskiego Nr – z dnia 2018-08-02, poz. 4955</w:t>
            </w:r>
          </w:p>
        </w:tc>
      </w:tr>
      <w:tr w:rsidR="00BD79C4" w:rsidRPr="00BD79C4" w14:paraId="232125C8" w14:textId="77777777">
        <w:trPr>
          <w:trHeight w:val="612"/>
        </w:trPr>
        <w:tc>
          <w:tcPr>
            <w:tcW w:w="2920" w:type="dxa"/>
            <w:shd w:val="clear" w:color="auto" w:fill="D9D9D9" w:themeFill="background1" w:themeFillShade="D9"/>
          </w:tcPr>
          <w:p w14:paraId="7A4DCE05" w14:textId="77777777" w:rsidR="00962D9E" w:rsidRPr="00BD79C4" w:rsidRDefault="00962D9E" w:rsidP="00962D9E">
            <w:pPr>
              <w:pStyle w:val="Akapitzlist"/>
              <w:spacing w:before="40" w:after="0" w:line="240" w:lineRule="auto"/>
              <w:ind w:left="0"/>
              <w:jc w:val="both"/>
              <w:rPr>
                <w:rFonts w:cs="Arial"/>
                <w:sz w:val="20"/>
                <w:szCs w:val="20"/>
              </w:rPr>
            </w:pPr>
          </w:p>
        </w:tc>
        <w:tc>
          <w:tcPr>
            <w:tcW w:w="3099" w:type="dxa"/>
            <w:gridSpan w:val="3"/>
          </w:tcPr>
          <w:p w14:paraId="15E59B57" w14:textId="77777777" w:rsidR="00962D9E" w:rsidRPr="00BD79C4" w:rsidRDefault="00962D9E" w:rsidP="00962D9E">
            <w:pPr>
              <w:shd w:val="clear" w:color="auto" w:fill="FFFFFF"/>
              <w:spacing w:before="30" w:after="0" w:line="240" w:lineRule="auto"/>
              <w:jc w:val="both"/>
              <w:rPr>
                <w:rFonts w:cs="Arial"/>
                <w:sz w:val="20"/>
                <w:szCs w:val="20"/>
              </w:rPr>
            </w:pPr>
            <w:r w:rsidRPr="00BD79C4">
              <w:rPr>
                <w:rFonts w:cs="Arial"/>
                <w:sz w:val="20"/>
                <w:szCs w:val="20"/>
              </w:rPr>
              <w:t>decyzjach o warunkach zabudowy i zagospodarowania terenu</w:t>
            </w:r>
          </w:p>
        </w:tc>
        <w:tc>
          <w:tcPr>
            <w:tcW w:w="3762" w:type="dxa"/>
            <w:gridSpan w:val="3"/>
          </w:tcPr>
          <w:p w14:paraId="24852675" w14:textId="77777777" w:rsidR="00962D9E" w:rsidRPr="00BD79C4" w:rsidRDefault="00962D9E" w:rsidP="00962D9E">
            <w:pPr>
              <w:shd w:val="clear" w:color="auto" w:fill="FFFFFF"/>
              <w:spacing w:before="30" w:after="0" w:line="240" w:lineRule="auto"/>
              <w:jc w:val="both"/>
              <w:rPr>
                <w:rFonts w:cs="Arial"/>
                <w:sz w:val="20"/>
                <w:szCs w:val="20"/>
              </w:rPr>
            </w:pPr>
            <w:r w:rsidRPr="00BD79C4">
              <w:rPr>
                <w:rFonts w:cs="Arial"/>
                <w:sz w:val="20"/>
                <w:szCs w:val="20"/>
              </w:rPr>
              <w:t>Nie dotyczy</w:t>
            </w:r>
          </w:p>
        </w:tc>
      </w:tr>
      <w:tr w:rsidR="00BD79C4" w:rsidRPr="00BD79C4" w14:paraId="79498F96" w14:textId="77777777">
        <w:trPr>
          <w:trHeight w:val="612"/>
        </w:trPr>
        <w:tc>
          <w:tcPr>
            <w:tcW w:w="2920" w:type="dxa"/>
            <w:shd w:val="clear" w:color="auto" w:fill="D9D9D9" w:themeFill="background1" w:themeFillShade="D9"/>
          </w:tcPr>
          <w:p w14:paraId="49B323E0" w14:textId="77777777" w:rsidR="00962D9E" w:rsidRPr="00BD79C4" w:rsidRDefault="00962D9E" w:rsidP="00962D9E">
            <w:pPr>
              <w:pStyle w:val="Akapitzlist"/>
              <w:spacing w:before="40" w:after="0" w:line="240" w:lineRule="auto"/>
              <w:ind w:left="0"/>
              <w:jc w:val="both"/>
              <w:rPr>
                <w:rFonts w:cs="Arial"/>
                <w:sz w:val="20"/>
                <w:szCs w:val="20"/>
              </w:rPr>
            </w:pPr>
          </w:p>
        </w:tc>
        <w:tc>
          <w:tcPr>
            <w:tcW w:w="3099" w:type="dxa"/>
            <w:gridSpan w:val="3"/>
          </w:tcPr>
          <w:p w14:paraId="78742762" w14:textId="77777777" w:rsidR="00962D9E" w:rsidRPr="00BD79C4" w:rsidRDefault="00962D9E" w:rsidP="00962D9E">
            <w:pPr>
              <w:shd w:val="clear" w:color="auto" w:fill="FFFFFF"/>
              <w:spacing w:before="30" w:after="0" w:line="240" w:lineRule="auto"/>
              <w:jc w:val="both"/>
              <w:rPr>
                <w:rFonts w:cs="Arial"/>
                <w:sz w:val="20"/>
                <w:szCs w:val="20"/>
              </w:rPr>
            </w:pPr>
            <w:r w:rsidRPr="00BD79C4">
              <w:rPr>
                <w:rFonts w:cs="Arial"/>
                <w:sz w:val="20"/>
                <w:szCs w:val="20"/>
              </w:rPr>
              <w:t>decyzjach o środowiskowych uwarunkowaniach</w:t>
            </w:r>
          </w:p>
        </w:tc>
        <w:tc>
          <w:tcPr>
            <w:tcW w:w="3762" w:type="dxa"/>
            <w:gridSpan w:val="3"/>
          </w:tcPr>
          <w:p w14:paraId="1B17C0BB" w14:textId="77777777" w:rsidR="00962D9E" w:rsidRPr="00BD79C4" w:rsidRDefault="00962D9E" w:rsidP="00962D9E">
            <w:pPr>
              <w:shd w:val="clear" w:color="auto" w:fill="FFFFFF"/>
              <w:spacing w:before="30" w:after="0" w:line="240" w:lineRule="auto"/>
              <w:jc w:val="both"/>
              <w:rPr>
                <w:rFonts w:cs="Arial"/>
                <w:sz w:val="20"/>
                <w:szCs w:val="20"/>
              </w:rPr>
            </w:pPr>
            <w:r w:rsidRPr="00BD79C4">
              <w:rPr>
                <w:rFonts w:cs="Arial"/>
                <w:sz w:val="20"/>
                <w:szCs w:val="20"/>
              </w:rPr>
              <w:t>Nie dotyczy</w:t>
            </w:r>
          </w:p>
        </w:tc>
      </w:tr>
      <w:tr w:rsidR="00BD79C4" w:rsidRPr="00BD79C4" w14:paraId="754F8592" w14:textId="77777777">
        <w:trPr>
          <w:trHeight w:val="612"/>
        </w:trPr>
        <w:tc>
          <w:tcPr>
            <w:tcW w:w="2920" w:type="dxa"/>
            <w:shd w:val="clear" w:color="auto" w:fill="D9D9D9" w:themeFill="background1" w:themeFillShade="D9"/>
          </w:tcPr>
          <w:p w14:paraId="16165C8A" w14:textId="77777777" w:rsidR="00962D9E" w:rsidRPr="00BD79C4" w:rsidRDefault="00962D9E" w:rsidP="00962D9E">
            <w:pPr>
              <w:pStyle w:val="Akapitzlist"/>
              <w:spacing w:before="40" w:after="0" w:line="240" w:lineRule="auto"/>
              <w:ind w:left="0"/>
              <w:jc w:val="both"/>
              <w:rPr>
                <w:rFonts w:cs="Arial"/>
                <w:sz w:val="20"/>
                <w:szCs w:val="20"/>
              </w:rPr>
            </w:pPr>
          </w:p>
        </w:tc>
        <w:tc>
          <w:tcPr>
            <w:tcW w:w="3099" w:type="dxa"/>
            <w:gridSpan w:val="3"/>
          </w:tcPr>
          <w:p w14:paraId="72E8D519" w14:textId="77777777" w:rsidR="00962D9E" w:rsidRPr="00BD79C4" w:rsidRDefault="00962D9E" w:rsidP="00962D9E">
            <w:pPr>
              <w:shd w:val="clear" w:color="auto" w:fill="FFFFFF"/>
              <w:spacing w:before="30" w:after="0" w:line="240" w:lineRule="auto"/>
              <w:jc w:val="both"/>
              <w:rPr>
                <w:rFonts w:cs="Arial"/>
                <w:sz w:val="20"/>
                <w:szCs w:val="20"/>
              </w:rPr>
            </w:pPr>
            <w:r w:rsidRPr="00BD79C4">
              <w:rPr>
                <w:rFonts w:cs="Arial"/>
                <w:sz w:val="20"/>
                <w:szCs w:val="20"/>
              </w:rPr>
              <w:t>uchwałach o obszarach ograniczonego użytkowania</w:t>
            </w:r>
          </w:p>
        </w:tc>
        <w:tc>
          <w:tcPr>
            <w:tcW w:w="3762" w:type="dxa"/>
            <w:gridSpan w:val="3"/>
          </w:tcPr>
          <w:p w14:paraId="69441E69" w14:textId="77777777" w:rsidR="00962D9E" w:rsidRPr="00BD79C4" w:rsidRDefault="00962D9E" w:rsidP="00962D9E">
            <w:pPr>
              <w:shd w:val="clear" w:color="auto" w:fill="FFFFFF"/>
              <w:spacing w:before="30" w:after="0" w:line="240" w:lineRule="auto"/>
              <w:jc w:val="both"/>
              <w:rPr>
                <w:rFonts w:cs="Arial"/>
                <w:sz w:val="20"/>
                <w:szCs w:val="20"/>
              </w:rPr>
            </w:pPr>
            <w:r w:rsidRPr="00BD79C4">
              <w:rPr>
                <w:rFonts w:cs="Arial"/>
                <w:sz w:val="20"/>
                <w:szCs w:val="20"/>
              </w:rPr>
              <w:t>Nie dotyczy</w:t>
            </w:r>
          </w:p>
        </w:tc>
      </w:tr>
      <w:tr w:rsidR="00BD79C4" w:rsidRPr="00BD79C4" w14:paraId="2B936E72" w14:textId="77777777">
        <w:trPr>
          <w:trHeight w:val="612"/>
        </w:trPr>
        <w:tc>
          <w:tcPr>
            <w:tcW w:w="2920" w:type="dxa"/>
            <w:shd w:val="clear" w:color="auto" w:fill="D9D9D9" w:themeFill="background1" w:themeFillShade="D9"/>
          </w:tcPr>
          <w:p w14:paraId="06C433AB" w14:textId="77777777" w:rsidR="00962D9E" w:rsidRPr="00BD79C4" w:rsidRDefault="00962D9E" w:rsidP="00962D9E">
            <w:pPr>
              <w:pStyle w:val="Akapitzlist"/>
              <w:spacing w:before="40" w:after="0" w:line="240" w:lineRule="auto"/>
              <w:ind w:left="0"/>
              <w:jc w:val="both"/>
              <w:rPr>
                <w:rFonts w:cs="Arial"/>
                <w:sz w:val="20"/>
                <w:szCs w:val="20"/>
              </w:rPr>
            </w:pPr>
          </w:p>
        </w:tc>
        <w:tc>
          <w:tcPr>
            <w:tcW w:w="3099" w:type="dxa"/>
            <w:gridSpan w:val="3"/>
          </w:tcPr>
          <w:p w14:paraId="2FFEE3E4" w14:textId="77777777" w:rsidR="00962D9E" w:rsidRPr="00BD79C4" w:rsidRDefault="00962D9E" w:rsidP="00962D9E">
            <w:pPr>
              <w:shd w:val="clear" w:color="auto" w:fill="FFFFFF"/>
              <w:spacing w:before="30" w:after="0" w:line="240" w:lineRule="auto"/>
              <w:jc w:val="both"/>
              <w:rPr>
                <w:rFonts w:cs="Arial"/>
                <w:sz w:val="20"/>
                <w:szCs w:val="20"/>
              </w:rPr>
            </w:pPr>
            <w:r w:rsidRPr="00BD79C4">
              <w:rPr>
                <w:rFonts w:cs="Arial"/>
                <w:sz w:val="20"/>
                <w:szCs w:val="20"/>
              </w:rPr>
              <w:t>miejscowych planach odbudowy</w:t>
            </w:r>
          </w:p>
        </w:tc>
        <w:tc>
          <w:tcPr>
            <w:tcW w:w="3762" w:type="dxa"/>
            <w:gridSpan w:val="3"/>
          </w:tcPr>
          <w:p w14:paraId="60796137" w14:textId="77777777" w:rsidR="00962D9E" w:rsidRPr="00BD79C4" w:rsidRDefault="00962D9E" w:rsidP="00962D9E">
            <w:pPr>
              <w:shd w:val="clear" w:color="auto" w:fill="FFFFFF"/>
              <w:spacing w:before="30" w:after="0" w:line="240" w:lineRule="auto"/>
              <w:jc w:val="both"/>
              <w:rPr>
                <w:rFonts w:cs="Arial"/>
                <w:sz w:val="20"/>
                <w:szCs w:val="20"/>
              </w:rPr>
            </w:pPr>
            <w:r w:rsidRPr="00BD79C4">
              <w:rPr>
                <w:rFonts w:cs="Arial"/>
                <w:sz w:val="20"/>
                <w:szCs w:val="20"/>
              </w:rPr>
              <w:t>Nie dotyczy</w:t>
            </w:r>
          </w:p>
        </w:tc>
      </w:tr>
      <w:tr w:rsidR="00BD79C4" w:rsidRPr="00BD79C4" w14:paraId="246A5E3A" w14:textId="77777777">
        <w:trPr>
          <w:trHeight w:val="612"/>
        </w:trPr>
        <w:tc>
          <w:tcPr>
            <w:tcW w:w="2920" w:type="dxa"/>
            <w:shd w:val="clear" w:color="auto" w:fill="D9D9D9" w:themeFill="background1" w:themeFillShade="D9"/>
          </w:tcPr>
          <w:p w14:paraId="5200E1BB" w14:textId="77777777" w:rsidR="00962D9E" w:rsidRPr="00BD79C4" w:rsidRDefault="00962D9E" w:rsidP="00962D9E">
            <w:pPr>
              <w:pStyle w:val="Akapitzlist"/>
              <w:spacing w:before="40" w:after="0" w:line="240" w:lineRule="auto"/>
              <w:ind w:left="0"/>
              <w:jc w:val="both"/>
              <w:rPr>
                <w:rFonts w:cs="Arial"/>
                <w:sz w:val="20"/>
                <w:szCs w:val="20"/>
              </w:rPr>
            </w:pPr>
          </w:p>
        </w:tc>
        <w:tc>
          <w:tcPr>
            <w:tcW w:w="3099" w:type="dxa"/>
            <w:gridSpan w:val="3"/>
            <w:tcBorders>
              <w:bottom w:val="single" w:sz="4" w:space="0" w:color="auto"/>
            </w:tcBorders>
          </w:tcPr>
          <w:p w14:paraId="06E0A65E" w14:textId="77777777" w:rsidR="00962D9E" w:rsidRPr="00BD79C4" w:rsidRDefault="00962D9E" w:rsidP="00962D9E">
            <w:pPr>
              <w:shd w:val="clear" w:color="auto" w:fill="FFFFFF"/>
              <w:spacing w:before="30" w:after="0" w:line="240" w:lineRule="auto"/>
              <w:jc w:val="both"/>
              <w:rPr>
                <w:rFonts w:cs="Arial"/>
                <w:sz w:val="20"/>
                <w:szCs w:val="20"/>
              </w:rPr>
            </w:pPr>
            <w:r w:rsidRPr="00BD79C4">
              <w:rPr>
                <w:rFonts w:cs="Arial"/>
                <w:sz w:val="20"/>
                <w:szCs w:val="20"/>
              </w:rPr>
              <w:t>mapach zagrożenia powodziowego i mapach ryzyka powodziowego</w:t>
            </w:r>
          </w:p>
        </w:tc>
        <w:tc>
          <w:tcPr>
            <w:tcW w:w="3762" w:type="dxa"/>
            <w:gridSpan w:val="3"/>
          </w:tcPr>
          <w:p w14:paraId="735B190C" w14:textId="77777777" w:rsidR="00962D9E" w:rsidRPr="00BD79C4" w:rsidRDefault="00962D9E" w:rsidP="00962D9E">
            <w:pPr>
              <w:spacing w:after="0" w:line="240" w:lineRule="auto"/>
              <w:rPr>
                <w:rFonts w:eastAsia="Times New Roman" w:cstheme="minorHAnsi"/>
                <w:sz w:val="20"/>
                <w:szCs w:val="20"/>
              </w:rPr>
            </w:pPr>
            <w:r w:rsidRPr="00BD79C4">
              <w:rPr>
                <w:rFonts w:eastAsia="Times New Roman" w:cstheme="minorHAnsi"/>
                <w:sz w:val="20"/>
                <w:szCs w:val="20"/>
              </w:rPr>
              <w:t>Dla terenów wód powierzchniowych śródlądowych, oznaczonych symbolami 1WS - 49WS, ustala się:</w:t>
            </w:r>
          </w:p>
          <w:p w14:paraId="08DCC458" w14:textId="77777777" w:rsidR="00962D9E" w:rsidRPr="00BD79C4" w:rsidRDefault="00962D9E" w:rsidP="00962D9E">
            <w:pPr>
              <w:spacing w:after="0" w:line="240" w:lineRule="auto"/>
              <w:rPr>
                <w:rFonts w:eastAsia="Times New Roman" w:cstheme="minorHAnsi"/>
                <w:sz w:val="20"/>
                <w:szCs w:val="20"/>
              </w:rPr>
            </w:pPr>
            <w:r w:rsidRPr="00BD79C4">
              <w:rPr>
                <w:rFonts w:eastAsia="Times New Roman" w:cstheme="minorHAnsi"/>
                <w:sz w:val="20"/>
                <w:szCs w:val="20"/>
              </w:rPr>
              <w:t>1) przeznaczenie: wody powierzchniowe śródlądowe;</w:t>
            </w:r>
          </w:p>
          <w:p w14:paraId="78F68572" w14:textId="01328F5E" w:rsidR="00962D9E" w:rsidRPr="00440446" w:rsidRDefault="00962D9E" w:rsidP="00440446">
            <w:pPr>
              <w:spacing w:after="0" w:line="240" w:lineRule="auto"/>
              <w:rPr>
                <w:rFonts w:eastAsia="Times New Roman" w:cstheme="minorHAnsi"/>
                <w:sz w:val="20"/>
                <w:szCs w:val="20"/>
              </w:rPr>
            </w:pPr>
            <w:r w:rsidRPr="00BD79C4">
              <w:rPr>
                <w:rFonts w:eastAsia="Times New Roman" w:cstheme="minorHAnsi"/>
                <w:sz w:val="20"/>
                <w:szCs w:val="20"/>
              </w:rPr>
              <w:t>2) dopuszcza się: budowle i urządzenia wodne związane z gospodarką wodami opadowymi i ochroną przeciwpowodziową.</w:t>
            </w:r>
          </w:p>
        </w:tc>
      </w:tr>
      <w:tr w:rsidR="00BD79C4" w:rsidRPr="00BD79C4" w14:paraId="3A29BE91" w14:textId="77777777">
        <w:trPr>
          <w:trHeight w:val="612"/>
        </w:trPr>
        <w:tc>
          <w:tcPr>
            <w:tcW w:w="2920" w:type="dxa"/>
            <w:shd w:val="clear" w:color="auto" w:fill="D9D9D9" w:themeFill="background1" w:themeFillShade="D9"/>
          </w:tcPr>
          <w:p w14:paraId="1FAD9BA2" w14:textId="77777777" w:rsidR="00962D9E" w:rsidRPr="00BD79C4" w:rsidRDefault="00962D9E" w:rsidP="00962D9E">
            <w:pPr>
              <w:pStyle w:val="Akapitzlist"/>
              <w:spacing w:before="40" w:after="0" w:line="240" w:lineRule="auto"/>
              <w:ind w:left="0"/>
              <w:jc w:val="both"/>
              <w:rPr>
                <w:rFonts w:cs="Arial"/>
                <w:sz w:val="20"/>
                <w:szCs w:val="20"/>
              </w:rPr>
            </w:pPr>
          </w:p>
        </w:tc>
        <w:tc>
          <w:tcPr>
            <w:tcW w:w="3099" w:type="dxa"/>
            <w:gridSpan w:val="3"/>
            <w:tcBorders>
              <w:right w:val="nil"/>
            </w:tcBorders>
          </w:tcPr>
          <w:p w14:paraId="6238510B" w14:textId="77777777" w:rsidR="00962D9E" w:rsidRPr="00BD79C4" w:rsidRDefault="00962D9E" w:rsidP="00962D9E">
            <w:pPr>
              <w:shd w:val="clear" w:color="auto" w:fill="FFFFFF"/>
              <w:spacing w:before="30" w:after="0" w:line="240" w:lineRule="auto"/>
              <w:jc w:val="both"/>
              <w:rPr>
                <w:rFonts w:cs="Arial"/>
                <w:sz w:val="20"/>
                <w:szCs w:val="20"/>
              </w:rPr>
            </w:pPr>
            <w:r w:rsidRPr="00BD79C4">
              <w:rPr>
                <w:rFonts w:cs="Arial"/>
                <w:sz w:val="20"/>
                <w:szCs w:val="20"/>
              </w:rPr>
              <w:t>Ustalenia decyzji w zakresie rozmieszczenia inwestycji celu publicznego, mogące mieć znaczenie dla terenu objętego przedsięwzięciem deweloperskim lub zadaniem inwestycyjnym:</w:t>
            </w:r>
          </w:p>
        </w:tc>
        <w:tc>
          <w:tcPr>
            <w:tcW w:w="3762" w:type="dxa"/>
            <w:gridSpan w:val="3"/>
            <w:tcBorders>
              <w:left w:val="nil"/>
              <w:bottom w:val="single" w:sz="4" w:space="0" w:color="auto"/>
            </w:tcBorders>
          </w:tcPr>
          <w:p w14:paraId="2589FFDE" w14:textId="77777777" w:rsidR="00962D9E" w:rsidRPr="00BD79C4" w:rsidRDefault="00962D9E" w:rsidP="00962D9E">
            <w:pPr>
              <w:shd w:val="clear" w:color="auto" w:fill="FFFFFF"/>
              <w:spacing w:before="30" w:after="0" w:line="240" w:lineRule="auto"/>
              <w:jc w:val="both"/>
              <w:rPr>
                <w:rFonts w:cs="Arial"/>
                <w:sz w:val="20"/>
                <w:szCs w:val="20"/>
              </w:rPr>
            </w:pPr>
          </w:p>
        </w:tc>
      </w:tr>
      <w:tr w:rsidR="00BD79C4" w:rsidRPr="00BD79C4" w14:paraId="750A844E" w14:textId="77777777">
        <w:trPr>
          <w:trHeight w:val="612"/>
        </w:trPr>
        <w:tc>
          <w:tcPr>
            <w:tcW w:w="2920" w:type="dxa"/>
            <w:shd w:val="clear" w:color="auto" w:fill="D9D9D9" w:themeFill="background1" w:themeFillShade="D9"/>
          </w:tcPr>
          <w:p w14:paraId="6E808F20" w14:textId="77777777" w:rsidR="00962D9E" w:rsidRPr="00BD79C4" w:rsidRDefault="00962D9E" w:rsidP="00962D9E">
            <w:pPr>
              <w:pStyle w:val="Akapitzlist"/>
              <w:spacing w:before="40" w:after="0" w:line="240" w:lineRule="auto"/>
              <w:ind w:left="0"/>
              <w:jc w:val="both"/>
              <w:rPr>
                <w:rFonts w:cs="Arial"/>
                <w:sz w:val="20"/>
                <w:szCs w:val="20"/>
              </w:rPr>
            </w:pPr>
          </w:p>
        </w:tc>
        <w:tc>
          <w:tcPr>
            <w:tcW w:w="3099" w:type="dxa"/>
            <w:gridSpan w:val="3"/>
            <w:tcBorders>
              <w:right w:val="single" w:sz="4" w:space="0" w:color="auto"/>
            </w:tcBorders>
          </w:tcPr>
          <w:p w14:paraId="54FF9F48" w14:textId="77777777" w:rsidR="00962D9E" w:rsidRPr="00BD79C4" w:rsidRDefault="00962D9E" w:rsidP="00962D9E">
            <w:pPr>
              <w:shd w:val="clear" w:color="auto" w:fill="FFFFFF"/>
              <w:spacing w:before="30" w:after="0" w:line="240" w:lineRule="auto"/>
              <w:jc w:val="both"/>
              <w:rPr>
                <w:rFonts w:cs="Arial"/>
                <w:sz w:val="20"/>
                <w:szCs w:val="20"/>
              </w:rPr>
            </w:pPr>
            <w:r w:rsidRPr="00BD79C4">
              <w:rPr>
                <w:rFonts w:cs="Arial"/>
                <w:sz w:val="20"/>
                <w:szCs w:val="20"/>
              </w:rPr>
              <w:t>decyzja o zezwoleniu na realizacje inwestycji drogowej</w:t>
            </w:r>
          </w:p>
        </w:tc>
        <w:tc>
          <w:tcPr>
            <w:tcW w:w="3762" w:type="dxa"/>
            <w:gridSpan w:val="3"/>
            <w:tcBorders>
              <w:left w:val="single" w:sz="4" w:space="0" w:color="auto"/>
            </w:tcBorders>
          </w:tcPr>
          <w:p w14:paraId="0CE9811A" w14:textId="23E41CD3" w:rsidR="00962D9E" w:rsidRPr="00BD79C4" w:rsidRDefault="00962D9E" w:rsidP="00962D9E">
            <w:pPr>
              <w:shd w:val="clear" w:color="auto" w:fill="FFFFFF"/>
              <w:spacing w:before="30" w:after="0" w:line="240" w:lineRule="auto"/>
              <w:jc w:val="both"/>
              <w:rPr>
                <w:rFonts w:cs="Arial"/>
                <w:sz w:val="20"/>
                <w:szCs w:val="20"/>
              </w:rPr>
            </w:pPr>
            <w:r w:rsidRPr="00BD79C4">
              <w:rPr>
                <w:rFonts w:cs="Arial"/>
                <w:sz w:val="20"/>
                <w:szCs w:val="20"/>
              </w:rPr>
              <w:t xml:space="preserve">W publicznie dostępnych dokumentach ujawniono, iż w promieniu 1 km od nieruchomości planowana planowane są prace związane z modernizacją dróg publicznych, budową chodników, oświetlenia i ścieżek rowerowych. </w:t>
            </w:r>
          </w:p>
        </w:tc>
      </w:tr>
      <w:tr w:rsidR="00BD79C4" w:rsidRPr="00BD79C4" w14:paraId="4C573EEE" w14:textId="77777777">
        <w:trPr>
          <w:trHeight w:val="612"/>
        </w:trPr>
        <w:tc>
          <w:tcPr>
            <w:tcW w:w="2920" w:type="dxa"/>
            <w:shd w:val="clear" w:color="auto" w:fill="D9D9D9" w:themeFill="background1" w:themeFillShade="D9"/>
          </w:tcPr>
          <w:p w14:paraId="2F829794" w14:textId="77777777" w:rsidR="00962D9E" w:rsidRPr="00BD79C4" w:rsidRDefault="00962D9E" w:rsidP="00962D9E">
            <w:pPr>
              <w:pStyle w:val="Akapitzlist"/>
              <w:spacing w:before="40" w:after="0" w:line="240" w:lineRule="auto"/>
              <w:ind w:left="0"/>
              <w:jc w:val="both"/>
              <w:rPr>
                <w:rFonts w:cs="Arial"/>
                <w:sz w:val="20"/>
                <w:szCs w:val="20"/>
              </w:rPr>
            </w:pPr>
          </w:p>
        </w:tc>
        <w:tc>
          <w:tcPr>
            <w:tcW w:w="3099" w:type="dxa"/>
            <w:gridSpan w:val="3"/>
            <w:tcBorders>
              <w:right w:val="single" w:sz="4" w:space="0" w:color="auto"/>
            </w:tcBorders>
          </w:tcPr>
          <w:p w14:paraId="3FFDCA54" w14:textId="77777777" w:rsidR="00962D9E" w:rsidRPr="00BD79C4" w:rsidRDefault="00962D9E" w:rsidP="00962D9E">
            <w:pPr>
              <w:shd w:val="clear" w:color="auto" w:fill="FFFFFF"/>
              <w:spacing w:before="30" w:after="0" w:line="240" w:lineRule="auto"/>
              <w:jc w:val="both"/>
              <w:rPr>
                <w:rFonts w:cs="Arial"/>
                <w:sz w:val="20"/>
                <w:szCs w:val="20"/>
              </w:rPr>
            </w:pPr>
            <w:r w:rsidRPr="00BD79C4">
              <w:rPr>
                <w:rFonts w:cs="Arial"/>
                <w:sz w:val="20"/>
                <w:szCs w:val="20"/>
              </w:rPr>
              <w:t xml:space="preserve">decyzja o lokalizacji linii kolejowej </w:t>
            </w:r>
          </w:p>
        </w:tc>
        <w:tc>
          <w:tcPr>
            <w:tcW w:w="3762" w:type="dxa"/>
            <w:gridSpan w:val="3"/>
            <w:tcBorders>
              <w:left w:val="single" w:sz="4" w:space="0" w:color="auto"/>
            </w:tcBorders>
          </w:tcPr>
          <w:p w14:paraId="0BFEE300" w14:textId="77D0E4BD" w:rsidR="00962D9E" w:rsidRPr="00BD79C4" w:rsidRDefault="00962D9E" w:rsidP="00962D9E">
            <w:pPr>
              <w:shd w:val="clear" w:color="auto" w:fill="FFFFFF"/>
              <w:spacing w:before="30" w:after="0" w:line="240" w:lineRule="auto"/>
              <w:jc w:val="both"/>
              <w:rPr>
                <w:rFonts w:cs="Arial"/>
                <w:sz w:val="20"/>
                <w:szCs w:val="20"/>
              </w:rPr>
            </w:pPr>
            <w:r w:rsidRPr="00BD79C4">
              <w:rPr>
                <w:rFonts w:cs="Arial"/>
                <w:sz w:val="20"/>
                <w:szCs w:val="20"/>
              </w:rPr>
              <w:t xml:space="preserve">Modernizacja linii kolejowej nr 139 na odcinku Czechowice Dziedzice – Bielsko-Biała – Żywiec – granica Państwa. </w:t>
            </w:r>
          </w:p>
        </w:tc>
      </w:tr>
      <w:tr w:rsidR="00BD79C4" w:rsidRPr="00BD79C4" w14:paraId="135ABE0A" w14:textId="77777777">
        <w:trPr>
          <w:trHeight w:val="612"/>
        </w:trPr>
        <w:tc>
          <w:tcPr>
            <w:tcW w:w="2920" w:type="dxa"/>
            <w:shd w:val="clear" w:color="auto" w:fill="D9D9D9" w:themeFill="background1" w:themeFillShade="D9"/>
          </w:tcPr>
          <w:p w14:paraId="4A1618B0" w14:textId="77777777" w:rsidR="00962D9E" w:rsidRPr="00BD79C4" w:rsidRDefault="00962D9E" w:rsidP="00962D9E">
            <w:pPr>
              <w:pStyle w:val="Akapitzlist"/>
              <w:spacing w:before="40" w:after="0" w:line="240" w:lineRule="auto"/>
              <w:ind w:left="0"/>
              <w:jc w:val="both"/>
              <w:rPr>
                <w:rFonts w:cs="Arial"/>
                <w:sz w:val="20"/>
                <w:szCs w:val="20"/>
              </w:rPr>
            </w:pPr>
          </w:p>
        </w:tc>
        <w:tc>
          <w:tcPr>
            <w:tcW w:w="3099" w:type="dxa"/>
            <w:gridSpan w:val="3"/>
            <w:tcBorders>
              <w:right w:val="single" w:sz="4" w:space="0" w:color="auto"/>
            </w:tcBorders>
          </w:tcPr>
          <w:p w14:paraId="4CBDE4D0" w14:textId="77777777" w:rsidR="00962D9E" w:rsidRPr="00BD79C4" w:rsidRDefault="00962D9E" w:rsidP="00962D9E">
            <w:pPr>
              <w:shd w:val="clear" w:color="auto" w:fill="FFFFFF"/>
              <w:spacing w:before="30" w:after="0" w:line="240" w:lineRule="auto"/>
              <w:jc w:val="both"/>
              <w:rPr>
                <w:rFonts w:cs="Arial"/>
                <w:sz w:val="20"/>
                <w:szCs w:val="20"/>
              </w:rPr>
            </w:pPr>
            <w:r w:rsidRPr="00BD79C4">
              <w:rPr>
                <w:rFonts w:cs="Arial"/>
                <w:sz w:val="20"/>
                <w:szCs w:val="20"/>
              </w:rPr>
              <w:t>decyzja o zezwoleniu na realizację inwestycji w zakresie lotniska użytku publicznego</w:t>
            </w:r>
          </w:p>
        </w:tc>
        <w:tc>
          <w:tcPr>
            <w:tcW w:w="3762" w:type="dxa"/>
            <w:gridSpan w:val="3"/>
            <w:tcBorders>
              <w:left w:val="single" w:sz="4" w:space="0" w:color="auto"/>
            </w:tcBorders>
          </w:tcPr>
          <w:p w14:paraId="2BFFE757" w14:textId="77777777" w:rsidR="00962D9E" w:rsidRPr="00BD79C4" w:rsidRDefault="00962D9E" w:rsidP="00962D9E">
            <w:pPr>
              <w:shd w:val="clear" w:color="auto" w:fill="FFFFFF"/>
              <w:spacing w:before="30" w:after="0" w:line="240" w:lineRule="auto"/>
              <w:jc w:val="both"/>
              <w:rPr>
                <w:rFonts w:cs="Arial"/>
                <w:sz w:val="20"/>
                <w:szCs w:val="20"/>
              </w:rPr>
            </w:pPr>
            <w:r w:rsidRPr="00BD79C4">
              <w:rPr>
                <w:rFonts w:cs="Arial"/>
                <w:sz w:val="20"/>
                <w:szCs w:val="20"/>
              </w:rPr>
              <w:t>Nie dotyczy</w:t>
            </w:r>
          </w:p>
        </w:tc>
      </w:tr>
      <w:tr w:rsidR="00BD79C4" w:rsidRPr="00BD79C4" w14:paraId="3DFBC3CE" w14:textId="77777777">
        <w:trPr>
          <w:trHeight w:val="612"/>
        </w:trPr>
        <w:tc>
          <w:tcPr>
            <w:tcW w:w="2920" w:type="dxa"/>
            <w:shd w:val="clear" w:color="auto" w:fill="D9D9D9" w:themeFill="background1" w:themeFillShade="D9"/>
          </w:tcPr>
          <w:p w14:paraId="1B393969" w14:textId="77777777" w:rsidR="00962D9E" w:rsidRPr="00BD79C4" w:rsidRDefault="00962D9E" w:rsidP="00962D9E">
            <w:pPr>
              <w:pStyle w:val="Akapitzlist"/>
              <w:spacing w:before="40" w:after="0" w:line="240" w:lineRule="auto"/>
              <w:ind w:left="0"/>
              <w:jc w:val="both"/>
              <w:rPr>
                <w:rFonts w:cs="Arial"/>
                <w:sz w:val="20"/>
                <w:szCs w:val="20"/>
              </w:rPr>
            </w:pPr>
          </w:p>
        </w:tc>
        <w:tc>
          <w:tcPr>
            <w:tcW w:w="3099" w:type="dxa"/>
            <w:gridSpan w:val="3"/>
            <w:tcBorders>
              <w:right w:val="single" w:sz="4" w:space="0" w:color="auto"/>
            </w:tcBorders>
          </w:tcPr>
          <w:p w14:paraId="7D5C3853" w14:textId="77777777" w:rsidR="00962D9E" w:rsidRPr="00BD79C4" w:rsidRDefault="00962D9E" w:rsidP="00962D9E">
            <w:pPr>
              <w:shd w:val="clear" w:color="auto" w:fill="FFFFFF"/>
              <w:spacing w:before="30" w:after="0" w:line="240" w:lineRule="auto"/>
              <w:jc w:val="both"/>
              <w:rPr>
                <w:rFonts w:cs="Arial"/>
                <w:sz w:val="20"/>
                <w:szCs w:val="20"/>
              </w:rPr>
            </w:pPr>
            <w:r w:rsidRPr="00BD79C4">
              <w:rPr>
                <w:rFonts w:cs="Arial"/>
                <w:sz w:val="20"/>
                <w:szCs w:val="20"/>
              </w:rPr>
              <w:t>decyzja o pozwoleniu na realizację inwestycji w zakresie budowli przeciwpowodziowych</w:t>
            </w:r>
          </w:p>
        </w:tc>
        <w:tc>
          <w:tcPr>
            <w:tcW w:w="3762" w:type="dxa"/>
            <w:gridSpan w:val="3"/>
            <w:tcBorders>
              <w:left w:val="single" w:sz="4" w:space="0" w:color="auto"/>
            </w:tcBorders>
          </w:tcPr>
          <w:p w14:paraId="55E9B76B" w14:textId="77777777" w:rsidR="00962D9E" w:rsidRPr="00BD79C4" w:rsidRDefault="00962D9E" w:rsidP="00962D9E">
            <w:pPr>
              <w:spacing w:after="0" w:line="240" w:lineRule="auto"/>
              <w:rPr>
                <w:rFonts w:eastAsia="Times New Roman" w:cstheme="minorHAnsi"/>
                <w:sz w:val="20"/>
                <w:szCs w:val="20"/>
              </w:rPr>
            </w:pPr>
            <w:r w:rsidRPr="00BD79C4">
              <w:rPr>
                <w:rFonts w:eastAsia="Times New Roman" w:cstheme="minorHAnsi"/>
                <w:sz w:val="20"/>
                <w:szCs w:val="20"/>
              </w:rPr>
              <w:t>Dla terenów wód powierzchniowych śródlądowych, oznaczonych symbolami 1WS - 49WS, ustala się:</w:t>
            </w:r>
          </w:p>
          <w:p w14:paraId="022E7A09" w14:textId="77777777" w:rsidR="00962D9E" w:rsidRPr="00BD79C4" w:rsidRDefault="00962D9E" w:rsidP="00962D9E">
            <w:pPr>
              <w:spacing w:after="0" w:line="240" w:lineRule="auto"/>
              <w:rPr>
                <w:rFonts w:eastAsia="Times New Roman" w:cstheme="minorHAnsi"/>
                <w:sz w:val="20"/>
                <w:szCs w:val="20"/>
              </w:rPr>
            </w:pPr>
            <w:r w:rsidRPr="00BD79C4">
              <w:rPr>
                <w:rFonts w:eastAsia="Times New Roman" w:cstheme="minorHAnsi"/>
                <w:sz w:val="20"/>
                <w:szCs w:val="20"/>
              </w:rPr>
              <w:t>1) przeznaczenie: wody powierzchniowe śródlądowe;</w:t>
            </w:r>
          </w:p>
          <w:p w14:paraId="142DD973" w14:textId="6CCC61CD" w:rsidR="00962D9E" w:rsidRPr="00440446" w:rsidRDefault="00962D9E" w:rsidP="00440446">
            <w:pPr>
              <w:spacing w:after="0" w:line="240" w:lineRule="auto"/>
              <w:rPr>
                <w:rFonts w:eastAsia="Times New Roman" w:cstheme="minorHAnsi"/>
                <w:sz w:val="20"/>
                <w:szCs w:val="20"/>
              </w:rPr>
            </w:pPr>
            <w:r w:rsidRPr="00BD79C4">
              <w:rPr>
                <w:rFonts w:eastAsia="Times New Roman" w:cstheme="minorHAnsi"/>
                <w:sz w:val="20"/>
                <w:szCs w:val="20"/>
              </w:rPr>
              <w:t>2) dopuszcza się: budowle i urządzenia wodne związane z gospodarką wodami opadowymi i ochroną przeciwpowodziową.</w:t>
            </w:r>
          </w:p>
        </w:tc>
      </w:tr>
      <w:tr w:rsidR="00BD79C4" w:rsidRPr="00BD79C4" w14:paraId="1FB38280" w14:textId="77777777">
        <w:trPr>
          <w:trHeight w:val="612"/>
        </w:trPr>
        <w:tc>
          <w:tcPr>
            <w:tcW w:w="2920" w:type="dxa"/>
            <w:shd w:val="clear" w:color="auto" w:fill="D9D9D9" w:themeFill="background1" w:themeFillShade="D9"/>
          </w:tcPr>
          <w:p w14:paraId="7E93840F" w14:textId="77777777" w:rsidR="00962D9E" w:rsidRPr="00BD79C4" w:rsidRDefault="00962D9E" w:rsidP="00962D9E">
            <w:pPr>
              <w:pStyle w:val="Akapitzlist"/>
              <w:spacing w:before="40" w:after="0" w:line="240" w:lineRule="auto"/>
              <w:ind w:left="0"/>
              <w:jc w:val="both"/>
              <w:rPr>
                <w:rFonts w:cs="Arial"/>
                <w:sz w:val="20"/>
                <w:szCs w:val="20"/>
              </w:rPr>
            </w:pPr>
          </w:p>
        </w:tc>
        <w:tc>
          <w:tcPr>
            <w:tcW w:w="3099" w:type="dxa"/>
            <w:gridSpan w:val="3"/>
            <w:tcBorders>
              <w:right w:val="single" w:sz="4" w:space="0" w:color="auto"/>
            </w:tcBorders>
          </w:tcPr>
          <w:p w14:paraId="7C3E2590" w14:textId="77777777" w:rsidR="00962D9E" w:rsidRPr="00BD79C4" w:rsidRDefault="00962D9E" w:rsidP="00962D9E">
            <w:pPr>
              <w:shd w:val="clear" w:color="auto" w:fill="FFFFFF"/>
              <w:spacing w:before="30" w:after="0" w:line="240" w:lineRule="auto"/>
              <w:jc w:val="both"/>
              <w:rPr>
                <w:rFonts w:cs="Arial"/>
                <w:sz w:val="20"/>
                <w:szCs w:val="20"/>
              </w:rPr>
            </w:pPr>
            <w:r w:rsidRPr="00BD79C4">
              <w:rPr>
                <w:rFonts w:cs="Arial"/>
                <w:sz w:val="20"/>
                <w:szCs w:val="20"/>
              </w:rPr>
              <w:t>decyzja o ustaleniu lokalizacji inwestycji w zakresie budowy obiektu energetyki jądrowej</w:t>
            </w:r>
          </w:p>
        </w:tc>
        <w:tc>
          <w:tcPr>
            <w:tcW w:w="3762" w:type="dxa"/>
            <w:gridSpan w:val="3"/>
            <w:tcBorders>
              <w:left w:val="single" w:sz="4" w:space="0" w:color="auto"/>
            </w:tcBorders>
          </w:tcPr>
          <w:p w14:paraId="7733F7BA" w14:textId="77777777" w:rsidR="00962D9E" w:rsidRPr="00BD79C4" w:rsidRDefault="00962D9E" w:rsidP="00962D9E">
            <w:pPr>
              <w:shd w:val="clear" w:color="auto" w:fill="FFFFFF"/>
              <w:spacing w:before="30" w:after="0" w:line="240" w:lineRule="auto"/>
              <w:jc w:val="both"/>
              <w:rPr>
                <w:rFonts w:cs="Arial"/>
                <w:sz w:val="20"/>
                <w:szCs w:val="20"/>
              </w:rPr>
            </w:pPr>
            <w:r w:rsidRPr="00BD79C4">
              <w:rPr>
                <w:rFonts w:cs="Arial"/>
                <w:sz w:val="20"/>
                <w:szCs w:val="20"/>
              </w:rPr>
              <w:t>Nie dotyczy</w:t>
            </w:r>
          </w:p>
        </w:tc>
      </w:tr>
      <w:tr w:rsidR="00BD79C4" w:rsidRPr="00BD79C4" w14:paraId="30B710FF" w14:textId="77777777">
        <w:trPr>
          <w:trHeight w:val="612"/>
        </w:trPr>
        <w:tc>
          <w:tcPr>
            <w:tcW w:w="2920" w:type="dxa"/>
            <w:shd w:val="clear" w:color="auto" w:fill="D9D9D9" w:themeFill="background1" w:themeFillShade="D9"/>
          </w:tcPr>
          <w:p w14:paraId="44A21994" w14:textId="77777777" w:rsidR="00962D9E" w:rsidRPr="00BD79C4" w:rsidRDefault="00962D9E" w:rsidP="00962D9E">
            <w:pPr>
              <w:pStyle w:val="Akapitzlist"/>
              <w:spacing w:before="40" w:after="0" w:line="240" w:lineRule="auto"/>
              <w:ind w:left="0"/>
              <w:jc w:val="both"/>
              <w:rPr>
                <w:rFonts w:cs="Arial"/>
                <w:sz w:val="20"/>
                <w:szCs w:val="20"/>
              </w:rPr>
            </w:pPr>
          </w:p>
        </w:tc>
        <w:tc>
          <w:tcPr>
            <w:tcW w:w="3099" w:type="dxa"/>
            <w:gridSpan w:val="3"/>
            <w:tcBorders>
              <w:right w:val="single" w:sz="4" w:space="0" w:color="auto"/>
            </w:tcBorders>
          </w:tcPr>
          <w:p w14:paraId="19BC1BA2" w14:textId="77777777" w:rsidR="00962D9E" w:rsidRPr="00BD79C4" w:rsidRDefault="00962D9E" w:rsidP="00962D9E">
            <w:pPr>
              <w:shd w:val="clear" w:color="auto" w:fill="FFFFFF"/>
              <w:spacing w:before="30" w:after="0" w:line="240" w:lineRule="auto"/>
              <w:jc w:val="both"/>
              <w:rPr>
                <w:rFonts w:cs="Arial"/>
                <w:sz w:val="20"/>
                <w:szCs w:val="20"/>
              </w:rPr>
            </w:pPr>
            <w:r w:rsidRPr="00BD79C4">
              <w:rPr>
                <w:rFonts w:cs="Arial"/>
                <w:sz w:val="20"/>
                <w:szCs w:val="20"/>
              </w:rPr>
              <w:t>decyzja o ustaleniu lokalizacji regionalnej sieci przemysłowej</w:t>
            </w:r>
          </w:p>
        </w:tc>
        <w:tc>
          <w:tcPr>
            <w:tcW w:w="3762" w:type="dxa"/>
            <w:gridSpan w:val="3"/>
            <w:tcBorders>
              <w:left w:val="single" w:sz="4" w:space="0" w:color="auto"/>
            </w:tcBorders>
          </w:tcPr>
          <w:p w14:paraId="607CD9A9" w14:textId="77777777" w:rsidR="00962D9E" w:rsidRPr="00BD79C4" w:rsidRDefault="00962D9E" w:rsidP="00962D9E">
            <w:pPr>
              <w:shd w:val="clear" w:color="auto" w:fill="FFFFFF"/>
              <w:spacing w:before="30" w:after="0" w:line="240" w:lineRule="auto"/>
              <w:jc w:val="both"/>
              <w:rPr>
                <w:rFonts w:cs="Arial"/>
                <w:sz w:val="20"/>
                <w:szCs w:val="20"/>
              </w:rPr>
            </w:pPr>
            <w:r w:rsidRPr="00BD79C4">
              <w:rPr>
                <w:rFonts w:cs="Arial"/>
                <w:sz w:val="20"/>
                <w:szCs w:val="20"/>
              </w:rPr>
              <w:t>Nie dotyczy</w:t>
            </w:r>
          </w:p>
        </w:tc>
      </w:tr>
      <w:tr w:rsidR="00BD79C4" w:rsidRPr="00BD79C4" w14:paraId="3073670E" w14:textId="77777777">
        <w:trPr>
          <w:trHeight w:val="612"/>
        </w:trPr>
        <w:tc>
          <w:tcPr>
            <w:tcW w:w="2920" w:type="dxa"/>
            <w:shd w:val="clear" w:color="auto" w:fill="D9D9D9" w:themeFill="background1" w:themeFillShade="D9"/>
          </w:tcPr>
          <w:p w14:paraId="7A13CFFD" w14:textId="77777777" w:rsidR="00962D9E" w:rsidRPr="00BD79C4" w:rsidRDefault="00962D9E" w:rsidP="00962D9E">
            <w:pPr>
              <w:pStyle w:val="Akapitzlist"/>
              <w:spacing w:before="40" w:after="0" w:line="240" w:lineRule="auto"/>
              <w:ind w:left="0"/>
              <w:jc w:val="both"/>
              <w:rPr>
                <w:rFonts w:cs="Arial"/>
                <w:sz w:val="20"/>
                <w:szCs w:val="20"/>
              </w:rPr>
            </w:pPr>
          </w:p>
        </w:tc>
        <w:tc>
          <w:tcPr>
            <w:tcW w:w="3099" w:type="dxa"/>
            <w:gridSpan w:val="3"/>
            <w:tcBorders>
              <w:right w:val="single" w:sz="4" w:space="0" w:color="auto"/>
            </w:tcBorders>
          </w:tcPr>
          <w:p w14:paraId="651F1671" w14:textId="77777777" w:rsidR="00962D9E" w:rsidRPr="00BD79C4" w:rsidRDefault="00962D9E" w:rsidP="00962D9E">
            <w:pPr>
              <w:shd w:val="clear" w:color="auto" w:fill="FFFFFF"/>
              <w:spacing w:before="30" w:after="0" w:line="240" w:lineRule="auto"/>
              <w:jc w:val="both"/>
              <w:rPr>
                <w:rFonts w:cs="Arial"/>
                <w:sz w:val="20"/>
                <w:szCs w:val="20"/>
              </w:rPr>
            </w:pPr>
            <w:r w:rsidRPr="00BD79C4">
              <w:rPr>
                <w:rFonts w:cs="Arial"/>
                <w:sz w:val="20"/>
                <w:szCs w:val="20"/>
              </w:rPr>
              <w:t>decyzja o ustaleniu lokalizacji regionalnej sieci szerokopasmowej</w:t>
            </w:r>
          </w:p>
          <w:p w14:paraId="74ACDEDD" w14:textId="77777777" w:rsidR="00962D9E" w:rsidRPr="00BD79C4" w:rsidRDefault="00962D9E" w:rsidP="00962D9E">
            <w:pPr>
              <w:shd w:val="clear" w:color="auto" w:fill="FFFFFF"/>
              <w:spacing w:before="30" w:after="0" w:line="240" w:lineRule="auto"/>
              <w:jc w:val="both"/>
              <w:rPr>
                <w:rFonts w:cs="Arial"/>
                <w:sz w:val="20"/>
                <w:szCs w:val="20"/>
              </w:rPr>
            </w:pPr>
          </w:p>
        </w:tc>
        <w:tc>
          <w:tcPr>
            <w:tcW w:w="3762" w:type="dxa"/>
            <w:gridSpan w:val="3"/>
            <w:tcBorders>
              <w:left w:val="single" w:sz="4" w:space="0" w:color="auto"/>
            </w:tcBorders>
          </w:tcPr>
          <w:p w14:paraId="26EEC11E" w14:textId="77777777" w:rsidR="00962D9E" w:rsidRPr="00BD79C4" w:rsidRDefault="00962D9E" w:rsidP="00962D9E">
            <w:pPr>
              <w:shd w:val="clear" w:color="auto" w:fill="FFFFFF"/>
              <w:spacing w:before="30" w:after="0" w:line="240" w:lineRule="auto"/>
              <w:jc w:val="both"/>
              <w:rPr>
                <w:rFonts w:cs="Arial"/>
                <w:sz w:val="20"/>
                <w:szCs w:val="20"/>
              </w:rPr>
            </w:pPr>
            <w:r w:rsidRPr="00BD79C4">
              <w:rPr>
                <w:rFonts w:cs="Arial"/>
                <w:sz w:val="20"/>
                <w:szCs w:val="20"/>
              </w:rPr>
              <w:t>Do przedmiotowych budynków została doprowadzona sieć szerokopasmowa Internetu</w:t>
            </w:r>
          </w:p>
        </w:tc>
      </w:tr>
      <w:tr w:rsidR="00BD79C4" w:rsidRPr="00BD79C4" w14:paraId="5DF194AD" w14:textId="77777777">
        <w:trPr>
          <w:trHeight w:val="612"/>
        </w:trPr>
        <w:tc>
          <w:tcPr>
            <w:tcW w:w="2920" w:type="dxa"/>
            <w:shd w:val="clear" w:color="auto" w:fill="D9D9D9" w:themeFill="background1" w:themeFillShade="D9"/>
          </w:tcPr>
          <w:p w14:paraId="56453EAE" w14:textId="77777777" w:rsidR="00962D9E" w:rsidRPr="00BD79C4" w:rsidRDefault="00962D9E" w:rsidP="00962D9E">
            <w:pPr>
              <w:pStyle w:val="Akapitzlist"/>
              <w:spacing w:before="40" w:after="0" w:line="240" w:lineRule="auto"/>
              <w:ind w:left="0"/>
              <w:jc w:val="both"/>
              <w:rPr>
                <w:rFonts w:cs="Arial"/>
                <w:sz w:val="20"/>
                <w:szCs w:val="20"/>
              </w:rPr>
            </w:pPr>
          </w:p>
        </w:tc>
        <w:tc>
          <w:tcPr>
            <w:tcW w:w="3099" w:type="dxa"/>
            <w:gridSpan w:val="3"/>
            <w:tcBorders>
              <w:right w:val="single" w:sz="4" w:space="0" w:color="auto"/>
            </w:tcBorders>
          </w:tcPr>
          <w:p w14:paraId="398274B3" w14:textId="77777777" w:rsidR="00962D9E" w:rsidRPr="00BD79C4" w:rsidRDefault="00962D9E" w:rsidP="00962D9E">
            <w:pPr>
              <w:shd w:val="clear" w:color="auto" w:fill="FFFFFF"/>
              <w:spacing w:before="30" w:after="0" w:line="240" w:lineRule="auto"/>
              <w:jc w:val="both"/>
              <w:rPr>
                <w:rFonts w:cs="Arial"/>
                <w:sz w:val="20"/>
                <w:szCs w:val="20"/>
              </w:rPr>
            </w:pPr>
            <w:r w:rsidRPr="00BD79C4">
              <w:rPr>
                <w:rFonts w:cs="Arial"/>
                <w:sz w:val="20"/>
                <w:szCs w:val="20"/>
              </w:rPr>
              <w:t>Decyzja o ustaleniu lokalizacji inwestycji w Zakresie Centralnego Portu Komunikacyjnego</w:t>
            </w:r>
          </w:p>
        </w:tc>
        <w:tc>
          <w:tcPr>
            <w:tcW w:w="3762" w:type="dxa"/>
            <w:gridSpan w:val="3"/>
            <w:tcBorders>
              <w:left w:val="single" w:sz="4" w:space="0" w:color="auto"/>
            </w:tcBorders>
          </w:tcPr>
          <w:p w14:paraId="5CC3C88C" w14:textId="77777777" w:rsidR="00962D9E" w:rsidRPr="00BD79C4" w:rsidRDefault="00962D9E" w:rsidP="00962D9E">
            <w:pPr>
              <w:shd w:val="clear" w:color="auto" w:fill="FFFFFF"/>
              <w:spacing w:before="30" w:after="0" w:line="240" w:lineRule="auto"/>
              <w:jc w:val="both"/>
              <w:rPr>
                <w:rFonts w:cs="Arial"/>
                <w:sz w:val="20"/>
                <w:szCs w:val="20"/>
              </w:rPr>
            </w:pPr>
            <w:r w:rsidRPr="00BD79C4">
              <w:rPr>
                <w:rFonts w:cs="Arial"/>
                <w:sz w:val="20"/>
                <w:szCs w:val="20"/>
              </w:rPr>
              <w:t xml:space="preserve">Strategiczne Studium Lokalizacyjne Inwestycji CPK- na podstawie „ Koncepcji przygotowania i realizacji inwestycji Port Solidarność – CPK dla Rzeczypospolitej Polskiej , przyjęta uchwała nr 173/2017 Rady ministrów z dnia 7 listopada 2017. </w:t>
            </w:r>
            <w:r w:rsidRPr="00BD79C4">
              <w:rPr>
                <w:rFonts w:cs="Arial"/>
                <w:sz w:val="20"/>
                <w:szCs w:val="20"/>
              </w:rPr>
              <w:lastRenderedPageBreak/>
              <w:t xml:space="preserve">Oraz </w:t>
            </w:r>
            <w:proofErr w:type="spellStart"/>
            <w:r w:rsidRPr="00BD79C4">
              <w:rPr>
                <w:rFonts w:cs="Arial"/>
                <w:sz w:val="20"/>
                <w:szCs w:val="20"/>
              </w:rPr>
              <w:t>Strategi</w:t>
            </w:r>
            <w:proofErr w:type="spellEnd"/>
            <w:r w:rsidRPr="00BD79C4">
              <w:rPr>
                <w:rFonts w:cs="Arial"/>
                <w:sz w:val="20"/>
                <w:szCs w:val="20"/>
              </w:rPr>
              <w:t xml:space="preserve"> Zrównoważonego Rozwoju Transportu do 2030r., przyjęta uchwała nr 105 Rady Ministrów z </w:t>
            </w:r>
            <w:proofErr w:type="spellStart"/>
            <w:r w:rsidRPr="00BD79C4">
              <w:rPr>
                <w:rFonts w:cs="Arial"/>
                <w:sz w:val="20"/>
                <w:szCs w:val="20"/>
              </w:rPr>
              <w:t>dn</w:t>
            </w:r>
            <w:proofErr w:type="spellEnd"/>
            <w:r w:rsidRPr="00BD79C4">
              <w:rPr>
                <w:rFonts w:cs="Arial"/>
                <w:sz w:val="20"/>
                <w:szCs w:val="20"/>
              </w:rPr>
              <w:t xml:space="preserve"> 24 września 2019r”-  Po liniach wchodzących w skład ciągu nr 7 trasowane mogą być pociągi  IR IC: CPK d- Węzeł Małopolsko- Śląski- Katowice- Gliwice/ Bielsko- Biała z możliwością  wydłużenia ich  w kierunkach  północnych i zachodnich</w:t>
            </w:r>
          </w:p>
        </w:tc>
      </w:tr>
      <w:tr w:rsidR="00BD79C4" w:rsidRPr="00BD79C4" w14:paraId="54A8D74D" w14:textId="77777777">
        <w:trPr>
          <w:trHeight w:val="612"/>
        </w:trPr>
        <w:tc>
          <w:tcPr>
            <w:tcW w:w="2920" w:type="dxa"/>
            <w:shd w:val="clear" w:color="auto" w:fill="D9D9D9" w:themeFill="background1" w:themeFillShade="D9"/>
          </w:tcPr>
          <w:p w14:paraId="17E18751" w14:textId="77777777" w:rsidR="00962D9E" w:rsidRPr="00BD79C4" w:rsidRDefault="00962D9E" w:rsidP="00962D9E">
            <w:pPr>
              <w:pStyle w:val="Akapitzlist"/>
              <w:spacing w:before="40" w:after="0" w:line="240" w:lineRule="auto"/>
              <w:ind w:left="0"/>
              <w:jc w:val="both"/>
              <w:rPr>
                <w:rFonts w:cs="Arial"/>
                <w:sz w:val="20"/>
                <w:szCs w:val="20"/>
              </w:rPr>
            </w:pPr>
          </w:p>
        </w:tc>
        <w:tc>
          <w:tcPr>
            <w:tcW w:w="3099" w:type="dxa"/>
            <w:gridSpan w:val="3"/>
            <w:tcBorders>
              <w:right w:val="single" w:sz="4" w:space="0" w:color="auto"/>
            </w:tcBorders>
          </w:tcPr>
          <w:p w14:paraId="4210F96E" w14:textId="77777777" w:rsidR="00962D9E" w:rsidRPr="00BD79C4" w:rsidRDefault="00962D9E" w:rsidP="00962D9E">
            <w:pPr>
              <w:shd w:val="clear" w:color="auto" w:fill="FFFFFF"/>
              <w:spacing w:before="30" w:after="0" w:line="240" w:lineRule="auto"/>
              <w:jc w:val="both"/>
              <w:rPr>
                <w:rFonts w:cs="Arial"/>
                <w:sz w:val="20"/>
                <w:szCs w:val="20"/>
              </w:rPr>
            </w:pPr>
            <w:r w:rsidRPr="00BD79C4">
              <w:rPr>
                <w:rFonts w:cs="Arial"/>
                <w:sz w:val="20"/>
                <w:szCs w:val="20"/>
              </w:rPr>
              <w:t>Decyzja o zezwoleniu na realizację inwestycji w zakresie  infrastruktury dostępowej</w:t>
            </w:r>
          </w:p>
        </w:tc>
        <w:tc>
          <w:tcPr>
            <w:tcW w:w="3762" w:type="dxa"/>
            <w:gridSpan w:val="3"/>
            <w:tcBorders>
              <w:left w:val="single" w:sz="4" w:space="0" w:color="auto"/>
            </w:tcBorders>
          </w:tcPr>
          <w:p w14:paraId="61FD7CC7" w14:textId="746F4C3B" w:rsidR="00962D9E" w:rsidRPr="00BD79C4" w:rsidRDefault="00962D9E" w:rsidP="00962D9E">
            <w:pPr>
              <w:shd w:val="clear" w:color="auto" w:fill="FFFFFF"/>
              <w:spacing w:before="30" w:after="0" w:line="240" w:lineRule="auto"/>
              <w:jc w:val="both"/>
              <w:rPr>
                <w:rFonts w:cs="Arial"/>
                <w:sz w:val="20"/>
                <w:szCs w:val="20"/>
              </w:rPr>
            </w:pPr>
            <w:r w:rsidRPr="00BD79C4">
              <w:rPr>
                <w:rFonts w:cs="Arial"/>
                <w:sz w:val="20"/>
                <w:szCs w:val="20"/>
              </w:rPr>
              <w:t>Podczas analizy w ww. zakresie nie ujawniono informacji o  planowanych inwestycjach komunalnych, w szczególności oczyszczalniach ścieków, spalarniach śmieci, wysypiskach, cmentarzach.</w:t>
            </w:r>
          </w:p>
        </w:tc>
      </w:tr>
      <w:tr w:rsidR="00BD79C4" w:rsidRPr="00BD79C4" w14:paraId="2AC929D5" w14:textId="77777777">
        <w:trPr>
          <w:trHeight w:val="612"/>
        </w:trPr>
        <w:tc>
          <w:tcPr>
            <w:tcW w:w="2920" w:type="dxa"/>
            <w:shd w:val="clear" w:color="auto" w:fill="D9D9D9" w:themeFill="background1" w:themeFillShade="D9"/>
          </w:tcPr>
          <w:p w14:paraId="6C588C39" w14:textId="77777777" w:rsidR="00962D9E" w:rsidRPr="00BD79C4" w:rsidRDefault="00962D9E" w:rsidP="00962D9E">
            <w:pPr>
              <w:pStyle w:val="Akapitzlist"/>
              <w:spacing w:before="40" w:after="0" w:line="240" w:lineRule="auto"/>
              <w:ind w:left="0"/>
              <w:jc w:val="both"/>
              <w:rPr>
                <w:rFonts w:cs="Arial"/>
                <w:sz w:val="20"/>
                <w:szCs w:val="20"/>
              </w:rPr>
            </w:pPr>
          </w:p>
        </w:tc>
        <w:tc>
          <w:tcPr>
            <w:tcW w:w="3099" w:type="dxa"/>
            <w:gridSpan w:val="3"/>
            <w:tcBorders>
              <w:right w:val="single" w:sz="4" w:space="0" w:color="auto"/>
            </w:tcBorders>
          </w:tcPr>
          <w:p w14:paraId="1C084C16" w14:textId="77777777" w:rsidR="00962D9E" w:rsidRPr="00BD79C4" w:rsidRDefault="00962D9E" w:rsidP="00962D9E">
            <w:pPr>
              <w:shd w:val="clear" w:color="auto" w:fill="FFFFFF"/>
              <w:spacing w:before="30" w:after="0" w:line="240" w:lineRule="auto"/>
              <w:jc w:val="both"/>
              <w:rPr>
                <w:rFonts w:cs="Arial"/>
                <w:sz w:val="20"/>
                <w:szCs w:val="20"/>
              </w:rPr>
            </w:pPr>
            <w:r w:rsidRPr="00BD79C4">
              <w:rPr>
                <w:rFonts w:cs="Arial"/>
                <w:sz w:val="20"/>
                <w:szCs w:val="20"/>
              </w:rPr>
              <w:t>decyzja o ustaleniu lokalizacji strategicznej inwestycji w sektorze naftowym</w:t>
            </w:r>
          </w:p>
        </w:tc>
        <w:tc>
          <w:tcPr>
            <w:tcW w:w="3762" w:type="dxa"/>
            <w:gridSpan w:val="3"/>
            <w:tcBorders>
              <w:left w:val="single" w:sz="4" w:space="0" w:color="auto"/>
            </w:tcBorders>
          </w:tcPr>
          <w:p w14:paraId="055BB8B2" w14:textId="77777777" w:rsidR="00962D9E" w:rsidRPr="00BD79C4" w:rsidRDefault="00962D9E" w:rsidP="00962D9E">
            <w:pPr>
              <w:shd w:val="clear" w:color="auto" w:fill="FFFFFF"/>
              <w:spacing w:before="30" w:after="0" w:line="240" w:lineRule="auto"/>
              <w:jc w:val="both"/>
              <w:rPr>
                <w:rFonts w:cs="Arial"/>
                <w:sz w:val="20"/>
                <w:szCs w:val="20"/>
              </w:rPr>
            </w:pPr>
            <w:r w:rsidRPr="00BD79C4">
              <w:rPr>
                <w:rFonts w:cs="Arial"/>
                <w:sz w:val="20"/>
                <w:szCs w:val="20"/>
              </w:rPr>
              <w:t>Nie dotyczy</w:t>
            </w:r>
          </w:p>
        </w:tc>
      </w:tr>
      <w:tr w:rsidR="00BD79C4" w:rsidRPr="00BD79C4" w14:paraId="4C973406" w14:textId="77777777">
        <w:trPr>
          <w:trHeight w:val="612"/>
        </w:trPr>
        <w:tc>
          <w:tcPr>
            <w:tcW w:w="9781" w:type="dxa"/>
            <w:gridSpan w:val="7"/>
            <w:tcBorders>
              <w:bottom w:val="single" w:sz="4" w:space="0" w:color="auto"/>
            </w:tcBorders>
            <w:shd w:val="clear" w:color="auto" w:fill="BFBFBF" w:themeFill="background1" w:themeFillShade="BF"/>
          </w:tcPr>
          <w:p w14:paraId="02568775" w14:textId="77777777" w:rsidR="00962D9E" w:rsidRPr="00BD79C4" w:rsidRDefault="00962D9E" w:rsidP="00962D9E">
            <w:pPr>
              <w:pStyle w:val="Akapitzlist"/>
              <w:spacing w:before="120" w:after="0" w:line="240" w:lineRule="auto"/>
              <w:ind w:left="0"/>
              <w:rPr>
                <w:rFonts w:cs="Arial"/>
                <w:b/>
                <w:sz w:val="20"/>
                <w:szCs w:val="20"/>
              </w:rPr>
            </w:pPr>
            <w:r w:rsidRPr="00BD79C4">
              <w:rPr>
                <w:rFonts w:cs="Arial"/>
                <w:b/>
                <w:sz w:val="20"/>
                <w:szCs w:val="20"/>
              </w:rPr>
              <w:t>INFORMACJE DOTYCZĄCE BUDYNKU</w:t>
            </w:r>
          </w:p>
        </w:tc>
      </w:tr>
      <w:tr w:rsidR="00BD79C4" w:rsidRPr="00BD79C4" w14:paraId="1BC062B2" w14:textId="77777777">
        <w:trPr>
          <w:trHeight w:val="612"/>
        </w:trPr>
        <w:tc>
          <w:tcPr>
            <w:tcW w:w="2920" w:type="dxa"/>
            <w:tcBorders>
              <w:bottom w:val="single" w:sz="4" w:space="0" w:color="auto"/>
            </w:tcBorders>
            <w:shd w:val="clear" w:color="auto" w:fill="D9D9D9" w:themeFill="background1" w:themeFillShade="D9"/>
          </w:tcPr>
          <w:p w14:paraId="5FB39D93" w14:textId="77777777" w:rsidR="00962D9E" w:rsidRPr="00BD79C4" w:rsidRDefault="00962D9E" w:rsidP="00962D9E">
            <w:pPr>
              <w:pStyle w:val="Akapitzlist"/>
              <w:spacing w:before="40" w:after="0" w:line="240" w:lineRule="auto"/>
              <w:ind w:left="0"/>
              <w:rPr>
                <w:rFonts w:cs="Arial"/>
                <w:sz w:val="20"/>
                <w:szCs w:val="20"/>
              </w:rPr>
            </w:pPr>
            <w:r w:rsidRPr="00BD79C4">
              <w:rPr>
                <w:rFonts w:cs="Arial"/>
                <w:sz w:val="20"/>
                <w:szCs w:val="20"/>
              </w:rPr>
              <w:t>Czy jest pozwolenie na budowę</w:t>
            </w:r>
          </w:p>
        </w:tc>
        <w:tc>
          <w:tcPr>
            <w:tcW w:w="3099" w:type="dxa"/>
            <w:gridSpan w:val="3"/>
            <w:tcBorders>
              <w:bottom w:val="single" w:sz="4" w:space="0" w:color="auto"/>
            </w:tcBorders>
            <w:vAlign w:val="center"/>
          </w:tcPr>
          <w:p w14:paraId="08B1079E" w14:textId="77777777" w:rsidR="00962D9E" w:rsidRPr="00BD79C4" w:rsidRDefault="00962D9E" w:rsidP="00962D9E">
            <w:pPr>
              <w:pStyle w:val="Akapitzlist"/>
              <w:spacing w:before="30" w:after="0" w:line="240" w:lineRule="auto"/>
              <w:ind w:left="0"/>
              <w:jc w:val="center"/>
              <w:rPr>
                <w:rFonts w:cs="Arial"/>
                <w:sz w:val="20"/>
                <w:szCs w:val="20"/>
              </w:rPr>
            </w:pPr>
            <w:r w:rsidRPr="00BD79C4">
              <w:rPr>
                <w:rFonts w:cs="Arial"/>
                <w:sz w:val="20"/>
                <w:szCs w:val="20"/>
              </w:rPr>
              <w:t>Tak</w:t>
            </w:r>
          </w:p>
        </w:tc>
        <w:tc>
          <w:tcPr>
            <w:tcW w:w="3762" w:type="dxa"/>
            <w:gridSpan w:val="3"/>
            <w:tcBorders>
              <w:bottom w:val="single" w:sz="4" w:space="0" w:color="auto"/>
            </w:tcBorders>
            <w:vAlign w:val="center"/>
          </w:tcPr>
          <w:p w14:paraId="0A7DEB81" w14:textId="77777777" w:rsidR="00962D9E" w:rsidRPr="00BD79C4" w:rsidRDefault="00962D9E" w:rsidP="00962D9E">
            <w:pPr>
              <w:pStyle w:val="Akapitzlist"/>
              <w:spacing w:before="30" w:after="0" w:line="240" w:lineRule="auto"/>
              <w:ind w:left="0"/>
              <w:jc w:val="center"/>
              <w:rPr>
                <w:rFonts w:cs="Arial"/>
                <w:strike/>
                <w:sz w:val="20"/>
                <w:szCs w:val="20"/>
              </w:rPr>
            </w:pPr>
            <w:r w:rsidRPr="00BD79C4">
              <w:rPr>
                <w:rFonts w:cs="Arial"/>
                <w:strike/>
                <w:sz w:val="20"/>
                <w:szCs w:val="20"/>
              </w:rPr>
              <w:t>Nie</w:t>
            </w:r>
          </w:p>
        </w:tc>
      </w:tr>
      <w:tr w:rsidR="00BD79C4" w:rsidRPr="00BD79C4" w14:paraId="556884D9" w14:textId="77777777">
        <w:trPr>
          <w:trHeight w:val="612"/>
        </w:trPr>
        <w:tc>
          <w:tcPr>
            <w:tcW w:w="2920" w:type="dxa"/>
            <w:tcBorders>
              <w:bottom w:val="single" w:sz="4" w:space="0" w:color="auto"/>
            </w:tcBorders>
            <w:shd w:val="clear" w:color="auto" w:fill="D9D9D9" w:themeFill="background1" w:themeFillShade="D9"/>
          </w:tcPr>
          <w:p w14:paraId="3E970E4C" w14:textId="77777777" w:rsidR="00962D9E" w:rsidRPr="00BD79C4" w:rsidRDefault="00962D9E" w:rsidP="00962D9E">
            <w:pPr>
              <w:pStyle w:val="Akapitzlist"/>
              <w:spacing w:before="40" w:after="0" w:line="240" w:lineRule="auto"/>
              <w:ind w:left="0"/>
              <w:rPr>
                <w:rFonts w:cs="Arial"/>
                <w:sz w:val="20"/>
                <w:szCs w:val="20"/>
              </w:rPr>
            </w:pPr>
            <w:r w:rsidRPr="00BD79C4">
              <w:rPr>
                <w:rFonts w:cs="Arial"/>
                <w:sz w:val="20"/>
                <w:szCs w:val="20"/>
              </w:rPr>
              <w:t>Czy pozwolenie na budowę jest ostateczne</w:t>
            </w:r>
          </w:p>
        </w:tc>
        <w:tc>
          <w:tcPr>
            <w:tcW w:w="3099" w:type="dxa"/>
            <w:gridSpan w:val="3"/>
            <w:tcBorders>
              <w:bottom w:val="single" w:sz="4" w:space="0" w:color="auto"/>
            </w:tcBorders>
            <w:vAlign w:val="center"/>
          </w:tcPr>
          <w:p w14:paraId="440C45F6" w14:textId="77777777" w:rsidR="00962D9E" w:rsidRPr="00BD79C4" w:rsidRDefault="00962D9E" w:rsidP="00962D9E">
            <w:pPr>
              <w:pStyle w:val="Akapitzlist"/>
              <w:spacing w:before="30" w:after="0" w:line="240" w:lineRule="auto"/>
              <w:ind w:left="0"/>
              <w:jc w:val="center"/>
              <w:rPr>
                <w:rFonts w:cs="Arial"/>
                <w:sz w:val="20"/>
                <w:szCs w:val="20"/>
              </w:rPr>
            </w:pPr>
            <w:r w:rsidRPr="00BD79C4">
              <w:rPr>
                <w:rFonts w:cs="Arial"/>
                <w:sz w:val="20"/>
                <w:szCs w:val="20"/>
              </w:rPr>
              <w:t>Tak</w:t>
            </w:r>
          </w:p>
        </w:tc>
        <w:tc>
          <w:tcPr>
            <w:tcW w:w="3762" w:type="dxa"/>
            <w:gridSpan w:val="3"/>
            <w:tcBorders>
              <w:bottom w:val="single" w:sz="4" w:space="0" w:color="auto"/>
            </w:tcBorders>
            <w:vAlign w:val="center"/>
          </w:tcPr>
          <w:p w14:paraId="25E4CBBB" w14:textId="77777777" w:rsidR="00962D9E" w:rsidRPr="00BD79C4" w:rsidRDefault="00962D9E" w:rsidP="00962D9E">
            <w:pPr>
              <w:pStyle w:val="Akapitzlist"/>
              <w:spacing w:before="30" w:after="0" w:line="240" w:lineRule="auto"/>
              <w:ind w:left="0"/>
              <w:jc w:val="center"/>
              <w:rPr>
                <w:rFonts w:cs="Arial"/>
                <w:strike/>
                <w:sz w:val="20"/>
                <w:szCs w:val="20"/>
              </w:rPr>
            </w:pPr>
            <w:r w:rsidRPr="00BD79C4">
              <w:rPr>
                <w:rFonts w:cs="Arial"/>
                <w:strike/>
                <w:sz w:val="20"/>
                <w:szCs w:val="20"/>
              </w:rPr>
              <w:t>Nie</w:t>
            </w:r>
          </w:p>
        </w:tc>
      </w:tr>
      <w:tr w:rsidR="00BD79C4" w:rsidRPr="00BD79C4" w14:paraId="48FC82AC" w14:textId="77777777">
        <w:trPr>
          <w:trHeight w:val="612"/>
        </w:trPr>
        <w:tc>
          <w:tcPr>
            <w:tcW w:w="2920" w:type="dxa"/>
            <w:tcBorders>
              <w:bottom w:val="single" w:sz="4" w:space="0" w:color="auto"/>
            </w:tcBorders>
            <w:shd w:val="clear" w:color="auto" w:fill="D9D9D9" w:themeFill="background1" w:themeFillShade="D9"/>
          </w:tcPr>
          <w:p w14:paraId="25BD505A" w14:textId="77777777" w:rsidR="00962D9E" w:rsidRPr="00BD79C4" w:rsidRDefault="00962D9E" w:rsidP="00962D9E">
            <w:pPr>
              <w:pStyle w:val="Akapitzlist"/>
              <w:spacing w:before="40" w:after="0" w:line="240" w:lineRule="auto"/>
              <w:ind w:left="0"/>
              <w:rPr>
                <w:rFonts w:cs="Arial"/>
                <w:sz w:val="20"/>
                <w:szCs w:val="20"/>
              </w:rPr>
            </w:pPr>
            <w:r w:rsidRPr="00BD79C4">
              <w:rPr>
                <w:rFonts w:cs="Arial"/>
                <w:sz w:val="20"/>
                <w:szCs w:val="20"/>
              </w:rPr>
              <w:t>Czy pozwolenie na budowę jest zaskarżone</w:t>
            </w:r>
          </w:p>
        </w:tc>
        <w:tc>
          <w:tcPr>
            <w:tcW w:w="3099" w:type="dxa"/>
            <w:gridSpan w:val="3"/>
            <w:tcBorders>
              <w:bottom w:val="single" w:sz="4" w:space="0" w:color="auto"/>
            </w:tcBorders>
            <w:vAlign w:val="center"/>
          </w:tcPr>
          <w:p w14:paraId="6AC0462A" w14:textId="77777777" w:rsidR="00962D9E" w:rsidRPr="00BD79C4" w:rsidRDefault="00962D9E" w:rsidP="00962D9E">
            <w:pPr>
              <w:pStyle w:val="Akapitzlist"/>
              <w:spacing w:before="30" w:after="0" w:line="240" w:lineRule="auto"/>
              <w:ind w:left="0"/>
              <w:jc w:val="center"/>
              <w:rPr>
                <w:rFonts w:cs="Arial"/>
                <w:strike/>
                <w:sz w:val="20"/>
                <w:szCs w:val="20"/>
              </w:rPr>
            </w:pPr>
            <w:r w:rsidRPr="00BD79C4">
              <w:rPr>
                <w:rFonts w:cs="Arial"/>
                <w:strike/>
                <w:sz w:val="20"/>
                <w:szCs w:val="20"/>
              </w:rPr>
              <w:t>Tak</w:t>
            </w:r>
          </w:p>
        </w:tc>
        <w:tc>
          <w:tcPr>
            <w:tcW w:w="3762" w:type="dxa"/>
            <w:gridSpan w:val="3"/>
            <w:tcBorders>
              <w:bottom w:val="single" w:sz="4" w:space="0" w:color="auto"/>
            </w:tcBorders>
            <w:vAlign w:val="center"/>
          </w:tcPr>
          <w:p w14:paraId="6D509F4F" w14:textId="77777777" w:rsidR="00962D9E" w:rsidRPr="00BD79C4" w:rsidRDefault="00962D9E" w:rsidP="00962D9E">
            <w:pPr>
              <w:pStyle w:val="Akapitzlist"/>
              <w:spacing w:before="30" w:after="0" w:line="240" w:lineRule="auto"/>
              <w:ind w:left="0"/>
              <w:jc w:val="center"/>
              <w:rPr>
                <w:rFonts w:cs="Arial"/>
                <w:sz w:val="20"/>
                <w:szCs w:val="20"/>
              </w:rPr>
            </w:pPr>
            <w:r w:rsidRPr="00BD79C4">
              <w:rPr>
                <w:rFonts w:cs="Arial"/>
                <w:sz w:val="20"/>
                <w:szCs w:val="20"/>
              </w:rPr>
              <w:t>Nie</w:t>
            </w:r>
          </w:p>
        </w:tc>
      </w:tr>
      <w:tr w:rsidR="00BD79C4" w:rsidRPr="00BD79C4" w14:paraId="389B0025" w14:textId="77777777">
        <w:trPr>
          <w:trHeight w:val="612"/>
        </w:trPr>
        <w:tc>
          <w:tcPr>
            <w:tcW w:w="2920" w:type="dxa"/>
            <w:shd w:val="clear" w:color="auto" w:fill="D9D9D9" w:themeFill="background1" w:themeFillShade="D9"/>
          </w:tcPr>
          <w:p w14:paraId="1A2DECC2" w14:textId="77777777" w:rsidR="00962D9E" w:rsidRPr="00BD79C4" w:rsidRDefault="00962D9E" w:rsidP="00962D9E">
            <w:pPr>
              <w:pStyle w:val="Akapitzlist"/>
              <w:spacing w:before="40" w:after="0" w:line="240" w:lineRule="auto"/>
              <w:ind w:left="0"/>
              <w:rPr>
                <w:rFonts w:cs="Arial"/>
                <w:sz w:val="20"/>
                <w:szCs w:val="20"/>
              </w:rPr>
            </w:pPr>
            <w:r w:rsidRPr="00BD79C4">
              <w:rPr>
                <w:rFonts w:cs="Arial"/>
                <w:sz w:val="20"/>
                <w:szCs w:val="20"/>
              </w:rPr>
              <w:t>Nr pozwolenia na budowę oraz nazwa organu, który je wydał</w:t>
            </w:r>
          </w:p>
        </w:tc>
        <w:tc>
          <w:tcPr>
            <w:tcW w:w="6861" w:type="dxa"/>
            <w:gridSpan w:val="6"/>
          </w:tcPr>
          <w:p w14:paraId="6EE09402" w14:textId="77777777" w:rsidR="00962D9E" w:rsidRPr="00BD79C4" w:rsidRDefault="00962D9E" w:rsidP="00962D9E">
            <w:pPr>
              <w:autoSpaceDE w:val="0"/>
              <w:autoSpaceDN w:val="0"/>
              <w:adjustRightInd w:val="0"/>
              <w:spacing w:after="0" w:line="240" w:lineRule="auto"/>
              <w:jc w:val="both"/>
              <w:rPr>
                <w:rFonts w:cs="Arial"/>
                <w:sz w:val="20"/>
                <w:szCs w:val="20"/>
              </w:rPr>
            </w:pPr>
            <w:r w:rsidRPr="00BD79C4">
              <w:rPr>
                <w:rFonts w:cs="Arial"/>
                <w:sz w:val="20"/>
                <w:szCs w:val="20"/>
              </w:rPr>
              <w:t xml:space="preserve">Decyzja nr </w:t>
            </w:r>
            <w:r w:rsidRPr="00BD79C4">
              <w:rPr>
                <w:rFonts w:cs="Arial"/>
                <w:b/>
                <w:bCs/>
                <w:sz w:val="20"/>
                <w:szCs w:val="20"/>
              </w:rPr>
              <w:t>312/2021 z dnia 02 sierpnia 2021 r.</w:t>
            </w:r>
            <w:r w:rsidRPr="00BD79C4">
              <w:rPr>
                <w:rFonts w:cs="Arial"/>
                <w:sz w:val="20"/>
                <w:szCs w:val="20"/>
              </w:rPr>
              <w:t xml:space="preserve"> wydana przez Starostę Żywieckiego</w:t>
            </w:r>
          </w:p>
        </w:tc>
      </w:tr>
      <w:tr w:rsidR="00BD79C4" w:rsidRPr="00BD79C4" w14:paraId="3E18BCB8" w14:textId="77777777">
        <w:trPr>
          <w:trHeight w:val="612"/>
        </w:trPr>
        <w:tc>
          <w:tcPr>
            <w:tcW w:w="2920" w:type="dxa"/>
            <w:shd w:val="clear" w:color="auto" w:fill="D9D9D9" w:themeFill="background1" w:themeFillShade="D9"/>
          </w:tcPr>
          <w:p w14:paraId="2D61692E" w14:textId="77777777" w:rsidR="00962D9E" w:rsidRPr="00BD79C4" w:rsidRDefault="00962D9E" w:rsidP="00962D9E">
            <w:pPr>
              <w:spacing w:after="0" w:line="240" w:lineRule="auto"/>
              <w:rPr>
                <w:rFonts w:cs="Arial"/>
                <w:sz w:val="20"/>
                <w:szCs w:val="20"/>
              </w:rPr>
            </w:pPr>
            <w:r w:rsidRPr="00BD79C4">
              <w:rPr>
                <w:rFonts w:cs="Arial"/>
                <w:sz w:val="20"/>
                <w:szCs w:val="20"/>
              </w:rPr>
              <w:t>Data uprawomocnienia się decyzji o pozwoleniu na użytkowanie budynku</w:t>
            </w:r>
          </w:p>
        </w:tc>
        <w:tc>
          <w:tcPr>
            <w:tcW w:w="6861" w:type="dxa"/>
            <w:gridSpan w:val="6"/>
          </w:tcPr>
          <w:p w14:paraId="0D0CC61B" w14:textId="77777777" w:rsidR="00962D9E" w:rsidRPr="00BD79C4" w:rsidRDefault="00962D9E" w:rsidP="00962D9E">
            <w:pPr>
              <w:autoSpaceDE w:val="0"/>
              <w:autoSpaceDN w:val="0"/>
              <w:adjustRightInd w:val="0"/>
              <w:spacing w:after="0" w:line="240" w:lineRule="auto"/>
              <w:jc w:val="both"/>
              <w:rPr>
                <w:rFonts w:cs="Arial"/>
                <w:sz w:val="20"/>
                <w:szCs w:val="20"/>
              </w:rPr>
            </w:pPr>
            <w:r w:rsidRPr="00BD79C4">
              <w:rPr>
                <w:rFonts w:cs="Arial"/>
                <w:sz w:val="20"/>
                <w:szCs w:val="20"/>
              </w:rPr>
              <w:t>29.06.2023</w:t>
            </w:r>
          </w:p>
        </w:tc>
      </w:tr>
      <w:tr w:rsidR="00BD79C4" w:rsidRPr="00BD79C4" w14:paraId="3A9D2FCC" w14:textId="77777777">
        <w:trPr>
          <w:trHeight w:val="612"/>
        </w:trPr>
        <w:tc>
          <w:tcPr>
            <w:tcW w:w="2920" w:type="dxa"/>
            <w:shd w:val="clear" w:color="auto" w:fill="D9D9D9" w:themeFill="background1" w:themeFillShade="D9"/>
          </w:tcPr>
          <w:p w14:paraId="560CC08D" w14:textId="77777777" w:rsidR="00962D9E" w:rsidRPr="00BD79C4" w:rsidRDefault="00962D9E" w:rsidP="00962D9E">
            <w:pPr>
              <w:spacing w:after="0" w:line="240" w:lineRule="auto"/>
              <w:rPr>
                <w:rFonts w:cs="Arial"/>
                <w:sz w:val="20"/>
                <w:szCs w:val="20"/>
              </w:rPr>
            </w:pPr>
            <w:r w:rsidRPr="00BD79C4">
              <w:rPr>
                <w:rFonts w:cs="Arial"/>
                <w:sz w:val="20"/>
                <w:szCs w:val="20"/>
              </w:rPr>
              <w:t>Numer zgłoszenia budowy, o której mowa w art.29 ust.1 pkt1 ustawy z dnia 7 lipca 1994r – Prawo budowlane ( Dz.U. z 2020r. poz. 1333, 2127 i 2320 oraz z 2021r. poz. 11, 234,282 i 784), oraz oznaczenie organu, do którego dokonano zgłoszenia, wraz z informacją o braku wniesienia sprzeciwu przez ten organ</w:t>
            </w:r>
          </w:p>
        </w:tc>
        <w:tc>
          <w:tcPr>
            <w:tcW w:w="6861" w:type="dxa"/>
            <w:gridSpan w:val="6"/>
          </w:tcPr>
          <w:p w14:paraId="4243B5AB" w14:textId="77777777" w:rsidR="00962D9E" w:rsidRPr="00BD79C4" w:rsidRDefault="00962D9E" w:rsidP="00962D9E">
            <w:pPr>
              <w:autoSpaceDE w:val="0"/>
              <w:autoSpaceDN w:val="0"/>
              <w:adjustRightInd w:val="0"/>
              <w:spacing w:after="0" w:line="240" w:lineRule="auto"/>
              <w:jc w:val="both"/>
              <w:rPr>
                <w:rFonts w:cs="Arial"/>
                <w:b/>
                <w:bCs/>
                <w:sz w:val="20"/>
                <w:szCs w:val="20"/>
              </w:rPr>
            </w:pPr>
            <w:r w:rsidRPr="00BD79C4">
              <w:rPr>
                <w:rFonts w:cs="Arial"/>
                <w:b/>
                <w:bCs/>
                <w:sz w:val="20"/>
                <w:szCs w:val="20"/>
              </w:rPr>
              <w:t>WB.6740.312.2021 .</w:t>
            </w:r>
            <w:r w:rsidRPr="00BD79C4">
              <w:rPr>
                <w:rFonts w:cs="Arial"/>
                <w:sz w:val="20"/>
                <w:szCs w:val="20"/>
              </w:rPr>
              <w:t xml:space="preserve"> Upoważnienia Starosty Żywieckiego</w:t>
            </w:r>
            <w:r w:rsidRPr="00BD79C4">
              <w:rPr>
                <w:rFonts w:cs="Arial"/>
                <w:b/>
                <w:bCs/>
                <w:sz w:val="20"/>
                <w:szCs w:val="20"/>
              </w:rPr>
              <w:t xml:space="preserve"> </w:t>
            </w:r>
            <w:r w:rsidRPr="00BD79C4">
              <w:rPr>
                <w:rFonts w:cs="Arial"/>
                <w:sz w:val="20"/>
                <w:szCs w:val="20"/>
              </w:rPr>
              <w:t xml:space="preserve">nr ZP. 077.21.2017 do wydania decyzji administracyjnych oraz dyrektora Wydziału Budownictwa Panią Aleksandrę Golec, po rozpatrzeniu wniosku o pozwolenie na budowę z dnia </w:t>
            </w:r>
            <w:r w:rsidRPr="00BD79C4">
              <w:rPr>
                <w:rFonts w:cs="Arial"/>
                <w:b/>
                <w:bCs/>
                <w:sz w:val="20"/>
                <w:szCs w:val="20"/>
              </w:rPr>
              <w:t>04.03.2021r.</w:t>
            </w:r>
            <w:r w:rsidRPr="00BD79C4">
              <w:rPr>
                <w:rFonts w:cs="Arial"/>
                <w:sz w:val="20"/>
                <w:szCs w:val="20"/>
              </w:rPr>
              <w:t xml:space="preserve">(data wpływu); </w:t>
            </w:r>
            <w:r w:rsidRPr="00BD79C4">
              <w:rPr>
                <w:rFonts w:cs="Arial"/>
                <w:b/>
                <w:bCs/>
                <w:sz w:val="20"/>
                <w:szCs w:val="20"/>
              </w:rPr>
              <w:t>zatwierdzam projekt budowlany i udzielam pozwolenia   na budowę zespołu piętnastu budynków mieszkalnych jednorodzinnych, dwuklatkowych w zabudowie bliźniaczej ( 2 etapy) w m. Łodygowice na DZ. O NR EWID.: 6233/5 wg. Projektu budowlanego sporzą</w:t>
            </w:r>
            <w:r w:rsidRPr="00BD79C4">
              <w:rPr>
                <w:b/>
                <w:bCs/>
              </w:rPr>
              <w:t xml:space="preserve">dzonego przez mgr inż. Arch. Rafała Mazura posiadającego uprawnienia budowlane do projektowania w specjalności architektonicznej bez ograniczeń nr </w:t>
            </w:r>
            <w:proofErr w:type="spellStart"/>
            <w:r w:rsidRPr="00BD79C4">
              <w:rPr>
                <w:b/>
                <w:bCs/>
              </w:rPr>
              <w:t>ewid</w:t>
            </w:r>
            <w:proofErr w:type="spellEnd"/>
            <w:r w:rsidRPr="00BD79C4">
              <w:rPr>
                <w:b/>
                <w:bCs/>
              </w:rPr>
              <w:t xml:space="preserve">.  37/SLOKK/2015/11, członka Śląskiej Okręgowej Architektów nr </w:t>
            </w:r>
            <w:proofErr w:type="spellStart"/>
            <w:r w:rsidRPr="00BD79C4">
              <w:rPr>
                <w:b/>
                <w:bCs/>
              </w:rPr>
              <w:t>ewid</w:t>
            </w:r>
            <w:proofErr w:type="spellEnd"/>
            <w:r w:rsidRPr="00BD79C4">
              <w:rPr>
                <w:b/>
                <w:bCs/>
              </w:rPr>
              <w:t>. SL-1878</w:t>
            </w:r>
          </w:p>
        </w:tc>
      </w:tr>
      <w:tr w:rsidR="00BD79C4" w:rsidRPr="00BD79C4" w14:paraId="06A6E432" w14:textId="77777777">
        <w:trPr>
          <w:trHeight w:val="612"/>
        </w:trPr>
        <w:tc>
          <w:tcPr>
            <w:tcW w:w="2920" w:type="dxa"/>
            <w:shd w:val="clear" w:color="auto" w:fill="D9D9D9" w:themeFill="background1" w:themeFillShade="D9"/>
          </w:tcPr>
          <w:p w14:paraId="3B3F744F" w14:textId="77777777" w:rsidR="00962D9E" w:rsidRPr="00BD79C4" w:rsidRDefault="00962D9E" w:rsidP="00962D9E">
            <w:pPr>
              <w:spacing w:after="0" w:line="240" w:lineRule="auto"/>
              <w:rPr>
                <w:rFonts w:cs="Arial"/>
                <w:sz w:val="20"/>
                <w:szCs w:val="20"/>
              </w:rPr>
            </w:pPr>
            <w:r w:rsidRPr="00BD79C4">
              <w:rPr>
                <w:rFonts w:cs="Arial"/>
                <w:sz w:val="20"/>
                <w:szCs w:val="20"/>
              </w:rPr>
              <w:t>Data zakończenia budowy domu jednorodzinnego</w:t>
            </w:r>
          </w:p>
        </w:tc>
        <w:tc>
          <w:tcPr>
            <w:tcW w:w="6861" w:type="dxa"/>
            <w:gridSpan w:val="6"/>
          </w:tcPr>
          <w:p w14:paraId="0C5DD451" w14:textId="77777777" w:rsidR="00962D9E" w:rsidRPr="00BD79C4" w:rsidRDefault="00962D9E" w:rsidP="00962D9E">
            <w:pPr>
              <w:autoSpaceDE w:val="0"/>
              <w:autoSpaceDN w:val="0"/>
              <w:adjustRightInd w:val="0"/>
              <w:spacing w:after="0" w:line="240" w:lineRule="auto"/>
              <w:jc w:val="both"/>
              <w:rPr>
                <w:rFonts w:cs="Arial"/>
                <w:sz w:val="20"/>
                <w:szCs w:val="20"/>
              </w:rPr>
            </w:pPr>
            <w:r w:rsidRPr="00BD79C4">
              <w:rPr>
                <w:rFonts w:cs="Arial"/>
                <w:sz w:val="20"/>
                <w:szCs w:val="20"/>
              </w:rPr>
              <w:t>29.06. 2023 r.</w:t>
            </w:r>
          </w:p>
        </w:tc>
      </w:tr>
      <w:tr w:rsidR="00BD79C4" w:rsidRPr="00BD79C4" w14:paraId="5EE8480B" w14:textId="77777777">
        <w:trPr>
          <w:trHeight w:val="612"/>
        </w:trPr>
        <w:tc>
          <w:tcPr>
            <w:tcW w:w="2920" w:type="dxa"/>
            <w:shd w:val="clear" w:color="auto" w:fill="D9D9D9" w:themeFill="background1" w:themeFillShade="D9"/>
          </w:tcPr>
          <w:p w14:paraId="4B8D118E" w14:textId="77777777" w:rsidR="00962D9E" w:rsidRPr="00BD79C4" w:rsidRDefault="00962D9E" w:rsidP="00962D9E">
            <w:pPr>
              <w:pStyle w:val="Akapitzlist"/>
              <w:spacing w:before="40" w:after="0" w:line="240" w:lineRule="auto"/>
              <w:ind w:left="0"/>
              <w:jc w:val="both"/>
              <w:rPr>
                <w:rFonts w:cs="Arial"/>
                <w:sz w:val="20"/>
                <w:szCs w:val="20"/>
              </w:rPr>
            </w:pPr>
            <w:r w:rsidRPr="00BD79C4">
              <w:rPr>
                <w:rFonts w:cs="Arial"/>
                <w:sz w:val="20"/>
                <w:szCs w:val="20"/>
              </w:rPr>
              <w:t>Planowany termin rozpoczęcia i zakończenia robót budowlanych</w:t>
            </w:r>
          </w:p>
        </w:tc>
        <w:tc>
          <w:tcPr>
            <w:tcW w:w="6861" w:type="dxa"/>
            <w:gridSpan w:val="6"/>
          </w:tcPr>
          <w:p w14:paraId="7DE741AF" w14:textId="77777777" w:rsidR="00962D9E" w:rsidRPr="00BD79C4" w:rsidRDefault="00962D9E" w:rsidP="00962D9E">
            <w:pPr>
              <w:spacing w:before="30" w:after="0" w:line="240" w:lineRule="auto"/>
              <w:rPr>
                <w:rFonts w:cs="Arial"/>
                <w:sz w:val="20"/>
                <w:szCs w:val="20"/>
              </w:rPr>
            </w:pPr>
            <w:r w:rsidRPr="00BD79C4">
              <w:rPr>
                <w:rFonts w:cs="Arial"/>
                <w:sz w:val="20"/>
                <w:szCs w:val="20"/>
              </w:rPr>
              <w:t>rozpoczęcie prac budowlanych: 13 sierpnia 2021 r.</w:t>
            </w:r>
          </w:p>
          <w:p w14:paraId="2BCFD342" w14:textId="77777777" w:rsidR="00962D9E" w:rsidRPr="00BD79C4" w:rsidRDefault="00962D9E" w:rsidP="00962D9E">
            <w:pPr>
              <w:spacing w:before="30" w:after="0" w:line="240" w:lineRule="auto"/>
              <w:rPr>
                <w:rFonts w:cs="Arial"/>
                <w:sz w:val="20"/>
                <w:szCs w:val="20"/>
              </w:rPr>
            </w:pPr>
            <w:r w:rsidRPr="00BD79C4">
              <w:rPr>
                <w:rFonts w:cs="Arial"/>
                <w:sz w:val="20"/>
                <w:szCs w:val="20"/>
              </w:rPr>
              <w:t>zakończenie prac budowlanych: lipiec 2023 r.</w:t>
            </w:r>
          </w:p>
        </w:tc>
      </w:tr>
      <w:tr w:rsidR="00BD79C4" w:rsidRPr="00BD79C4" w14:paraId="45FBA6A2" w14:textId="77777777">
        <w:trPr>
          <w:trHeight w:val="308"/>
        </w:trPr>
        <w:tc>
          <w:tcPr>
            <w:tcW w:w="2920" w:type="dxa"/>
            <w:vMerge w:val="restart"/>
            <w:shd w:val="clear" w:color="auto" w:fill="D9D9D9" w:themeFill="background1" w:themeFillShade="D9"/>
          </w:tcPr>
          <w:p w14:paraId="1020A943" w14:textId="77777777" w:rsidR="00962D9E" w:rsidRPr="00BD79C4" w:rsidRDefault="00962D9E" w:rsidP="00962D9E">
            <w:pPr>
              <w:pStyle w:val="Akapitzlist"/>
              <w:spacing w:before="40" w:after="0" w:line="240" w:lineRule="auto"/>
              <w:ind w:left="0"/>
              <w:jc w:val="both"/>
              <w:rPr>
                <w:rFonts w:cs="Arial"/>
                <w:sz w:val="20"/>
                <w:szCs w:val="20"/>
              </w:rPr>
            </w:pPr>
            <w:r w:rsidRPr="00BD79C4">
              <w:rPr>
                <w:rFonts w:cs="Arial"/>
                <w:sz w:val="20"/>
                <w:szCs w:val="20"/>
              </w:rPr>
              <w:t>Opis przedsięwzięcia deweloperskiego lub zadania inwestycyjnego</w:t>
            </w:r>
          </w:p>
        </w:tc>
        <w:tc>
          <w:tcPr>
            <w:tcW w:w="3099" w:type="dxa"/>
            <w:gridSpan w:val="3"/>
          </w:tcPr>
          <w:p w14:paraId="500A2BF5" w14:textId="77777777" w:rsidR="00962D9E" w:rsidRPr="00BD79C4" w:rsidRDefault="00962D9E" w:rsidP="00962D9E">
            <w:pPr>
              <w:pStyle w:val="Akapitzlist"/>
              <w:spacing w:before="120" w:after="0" w:line="240" w:lineRule="auto"/>
              <w:ind w:left="0"/>
              <w:rPr>
                <w:rFonts w:cs="Arial"/>
                <w:sz w:val="20"/>
                <w:szCs w:val="20"/>
              </w:rPr>
            </w:pPr>
            <w:r w:rsidRPr="00BD79C4">
              <w:rPr>
                <w:rFonts w:cs="Arial"/>
                <w:sz w:val="20"/>
                <w:szCs w:val="20"/>
              </w:rPr>
              <w:t>liczba budynków</w:t>
            </w:r>
          </w:p>
        </w:tc>
        <w:tc>
          <w:tcPr>
            <w:tcW w:w="3762" w:type="dxa"/>
            <w:gridSpan w:val="3"/>
          </w:tcPr>
          <w:p w14:paraId="31452DD2" w14:textId="77777777" w:rsidR="00962D9E" w:rsidRPr="00BD79C4" w:rsidRDefault="00962D9E" w:rsidP="00962D9E">
            <w:pPr>
              <w:pStyle w:val="Akapitzlist"/>
              <w:spacing w:before="30" w:after="0" w:line="240" w:lineRule="auto"/>
              <w:ind w:left="0"/>
              <w:rPr>
                <w:rFonts w:cs="Arial"/>
                <w:sz w:val="20"/>
                <w:szCs w:val="20"/>
              </w:rPr>
            </w:pPr>
            <w:r w:rsidRPr="00BD79C4">
              <w:rPr>
                <w:rFonts w:cs="Arial"/>
                <w:sz w:val="20"/>
                <w:szCs w:val="20"/>
              </w:rPr>
              <w:t>15 budynków mieszkalnych jednorodzinnych, dwulokalowych w zabudowie bliźniaczej</w:t>
            </w:r>
          </w:p>
        </w:tc>
      </w:tr>
      <w:tr w:rsidR="00BD79C4" w:rsidRPr="00BD79C4" w14:paraId="0DAC261A" w14:textId="77777777">
        <w:trPr>
          <w:trHeight w:val="307"/>
        </w:trPr>
        <w:tc>
          <w:tcPr>
            <w:tcW w:w="2920" w:type="dxa"/>
            <w:vMerge/>
            <w:shd w:val="clear" w:color="auto" w:fill="D9D9D9" w:themeFill="background1" w:themeFillShade="D9"/>
          </w:tcPr>
          <w:p w14:paraId="62346A6B" w14:textId="77777777" w:rsidR="00962D9E" w:rsidRPr="00BD79C4" w:rsidRDefault="00962D9E" w:rsidP="00962D9E">
            <w:pPr>
              <w:pStyle w:val="Akapitzlist"/>
              <w:spacing w:before="40" w:after="0" w:line="240" w:lineRule="auto"/>
              <w:ind w:left="0"/>
              <w:jc w:val="both"/>
              <w:rPr>
                <w:rFonts w:cs="Arial"/>
                <w:sz w:val="20"/>
                <w:szCs w:val="20"/>
              </w:rPr>
            </w:pPr>
          </w:p>
        </w:tc>
        <w:tc>
          <w:tcPr>
            <w:tcW w:w="3099" w:type="dxa"/>
            <w:gridSpan w:val="3"/>
          </w:tcPr>
          <w:p w14:paraId="0FE37559" w14:textId="77777777" w:rsidR="00962D9E" w:rsidRPr="00BD79C4" w:rsidRDefault="00962D9E" w:rsidP="00962D9E">
            <w:pPr>
              <w:pStyle w:val="Akapitzlist"/>
              <w:spacing w:before="30" w:after="0" w:line="240" w:lineRule="auto"/>
              <w:ind w:left="0"/>
              <w:jc w:val="both"/>
              <w:rPr>
                <w:rFonts w:cs="Arial"/>
                <w:sz w:val="20"/>
                <w:szCs w:val="20"/>
              </w:rPr>
            </w:pPr>
            <w:r w:rsidRPr="00BD79C4">
              <w:rPr>
                <w:rFonts w:cs="Arial"/>
                <w:sz w:val="20"/>
                <w:szCs w:val="20"/>
              </w:rPr>
              <w:t>Rozmieszczenie ich na nieruchomości (należy podać minimalny odstęp pomiędzy budynkami)</w:t>
            </w:r>
          </w:p>
        </w:tc>
        <w:tc>
          <w:tcPr>
            <w:tcW w:w="3762" w:type="dxa"/>
            <w:gridSpan w:val="3"/>
          </w:tcPr>
          <w:p w14:paraId="24198F15" w14:textId="77777777" w:rsidR="00962D9E" w:rsidRPr="00BD79C4" w:rsidRDefault="00962D9E" w:rsidP="00962D9E">
            <w:pPr>
              <w:autoSpaceDE w:val="0"/>
              <w:autoSpaceDN w:val="0"/>
              <w:adjustRightInd w:val="0"/>
              <w:spacing w:after="0" w:line="240" w:lineRule="auto"/>
              <w:rPr>
                <w:rFonts w:eastAsiaTheme="minorHAnsi" w:cs="Arial Narrow"/>
                <w:sz w:val="20"/>
                <w:szCs w:val="20"/>
                <w:lang w:eastAsia="en-US"/>
              </w:rPr>
            </w:pPr>
            <w:r w:rsidRPr="00BD79C4">
              <w:rPr>
                <w:rFonts w:eastAsiaTheme="minorHAnsi" w:cs="Arial Narrow"/>
                <w:sz w:val="20"/>
                <w:szCs w:val="20"/>
                <w:lang w:eastAsia="en-US"/>
              </w:rPr>
              <w:t>Budynek A i B – zabudowa bliźniacza</w:t>
            </w:r>
          </w:p>
          <w:p w14:paraId="0392D181" w14:textId="77777777" w:rsidR="00962D9E" w:rsidRPr="00BD79C4" w:rsidRDefault="00962D9E" w:rsidP="00962D9E">
            <w:pPr>
              <w:autoSpaceDE w:val="0"/>
              <w:autoSpaceDN w:val="0"/>
              <w:adjustRightInd w:val="0"/>
              <w:spacing w:after="0" w:line="240" w:lineRule="auto"/>
              <w:rPr>
                <w:rFonts w:eastAsiaTheme="minorHAnsi" w:cs="Arial Narrow"/>
                <w:sz w:val="20"/>
                <w:szCs w:val="20"/>
                <w:lang w:eastAsia="en-US"/>
              </w:rPr>
            </w:pPr>
            <w:r w:rsidRPr="00BD79C4">
              <w:rPr>
                <w:rFonts w:eastAsiaTheme="minorHAnsi" w:cs="Arial Narrow"/>
                <w:sz w:val="20"/>
                <w:szCs w:val="20"/>
                <w:lang w:eastAsia="en-US"/>
              </w:rPr>
              <w:t>Odstęp między budynkiem B i C: 6m</w:t>
            </w:r>
          </w:p>
          <w:p w14:paraId="327BF02C" w14:textId="77777777" w:rsidR="00962D9E" w:rsidRPr="00BD79C4" w:rsidRDefault="00962D9E" w:rsidP="00962D9E">
            <w:pPr>
              <w:autoSpaceDE w:val="0"/>
              <w:autoSpaceDN w:val="0"/>
              <w:adjustRightInd w:val="0"/>
              <w:spacing w:after="0" w:line="240" w:lineRule="auto"/>
              <w:rPr>
                <w:rFonts w:eastAsiaTheme="minorHAnsi" w:cs="Arial Narrow"/>
                <w:sz w:val="20"/>
                <w:szCs w:val="20"/>
                <w:lang w:eastAsia="en-US"/>
              </w:rPr>
            </w:pPr>
            <w:r w:rsidRPr="00BD79C4">
              <w:rPr>
                <w:rFonts w:eastAsiaTheme="minorHAnsi" w:cs="Arial Narrow"/>
                <w:sz w:val="20"/>
                <w:szCs w:val="20"/>
                <w:lang w:eastAsia="en-US"/>
              </w:rPr>
              <w:t xml:space="preserve">Budynek C </w:t>
            </w:r>
            <w:proofErr w:type="spellStart"/>
            <w:r w:rsidRPr="00BD79C4">
              <w:rPr>
                <w:rFonts w:eastAsiaTheme="minorHAnsi" w:cs="Arial Narrow"/>
                <w:sz w:val="20"/>
                <w:szCs w:val="20"/>
                <w:lang w:eastAsia="en-US"/>
              </w:rPr>
              <w:t>iD</w:t>
            </w:r>
            <w:proofErr w:type="spellEnd"/>
            <w:r w:rsidRPr="00BD79C4">
              <w:rPr>
                <w:rFonts w:eastAsiaTheme="minorHAnsi" w:cs="Arial Narrow"/>
                <w:sz w:val="20"/>
                <w:szCs w:val="20"/>
                <w:lang w:eastAsia="en-US"/>
              </w:rPr>
              <w:t xml:space="preserve"> – zabudowa bliźniacza</w:t>
            </w:r>
          </w:p>
          <w:p w14:paraId="57B98533" w14:textId="77777777" w:rsidR="00962D9E" w:rsidRPr="00BD79C4" w:rsidRDefault="00962D9E" w:rsidP="00962D9E">
            <w:pPr>
              <w:autoSpaceDE w:val="0"/>
              <w:autoSpaceDN w:val="0"/>
              <w:adjustRightInd w:val="0"/>
              <w:spacing w:after="0" w:line="240" w:lineRule="auto"/>
              <w:rPr>
                <w:rFonts w:eastAsiaTheme="minorHAnsi" w:cs="Arial Narrow"/>
                <w:sz w:val="20"/>
                <w:szCs w:val="20"/>
                <w:lang w:eastAsia="en-US"/>
              </w:rPr>
            </w:pPr>
            <w:r w:rsidRPr="00BD79C4">
              <w:rPr>
                <w:rFonts w:eastAsiaTheme="minorHAnsi" w:cs="Arial Narrow"/>
                <w:sz w:val="20"/>
                <w:szCs w:val="20"/>
                <w:lang w:eastAsia="en-US"/>
              </w:rPr>
              <w:t>Odstęp między budynkiem D i E: 6m</w:t>
            </w:r>
          </w:p>
          <w:p w14:paraId="0337DEBB" w14:textId="77777777" w:rsidR="00962D9E" w:rsidRPr="00BD79C4" w:rsidRDefault="00962D9E" w:rsidP="00962D9E">
            <w:pPr>
              <w:autoSpaceDE w:val="0"/>
              <w:autoSpaceDN w:val="0"/>
              <w:adjustRightInd w:val="0"/>
              <w:spacing w:after="0" w:line="240" w:lineRule="auto"/>
              <w:rPr>
                <w:rFonts w:eastAsiaTheme="minorHAnsi" w:cs="Arial Narrow"/>
                <w:sz w:val="20"/>
                <w:szCs w:val="20"/>
                <w:lang w:eastAsia="en-US"/>
              </w:rPr>
            </w:pPr>
            <w:r w:rsidRPr="00BD79C4">
              <w:rPr>
                <w:rFonts w:eastAsiaTheme="minorHAnsi" w:cs="Arial Narrow"/>
                <w:sz w:val="20"/>
                <w:szCs w:val="20"/>
                <w:lang w:eastAsia="en-US"/>
              </w:rPr>
              <w:t>Budynek E i F – zabudowa bliźniacza</w:t>
            </w:r>
          </w:p>
          <w:p w14:paraId="11686050" w14:textId="77777777" w:rsidR="00962D9E" w:rsidRPr="00BD79C4" w:rsidRDefault="00962D9E" w:rsidP="00962D9E">
            <w:pPr>
              <w:autoSpaceDE w:val="0"/>
              <w:autoSpaceDN w:val="0"/>
              <w:adjustRightInd w:val="0"/>
              <w:spacing w:after="0" w:line="240" w:lineRule="auto"/>
              <w:rPr>
                <w:rFonts w:eastAsiaTheme="minorHAnsi" w:cs="Arial Narrow"/>
                <w:sz w:val="20"/>
                <w:szCs w:val="20"/>
                <w:lang w:eastAsia="en-US"/>
              </w:rPr>
            </w:pPr>
            <w:r w:rsidRPr="00BD79C4">
              <w:rPr>
                <w:rFonts w:eastAsiaTheme="minorHAnsi" w:cs="Arial Narrow"/>
                <w:sz w:val="20"/>
                <w:szCs w:val="20"/>
                <w:lang w:eastAsia="en-US"/>
              </w:rPr>
              <w:t>Odstęp między budynkiem F i G: 6m</w:t>
            </w:r>
          </w:p>
          <w:p w14:paraId="6C438F44" w14:textId="77777777" w:rsidR="00962D9E" w:rsidRPr="00BD79C4" w:rsidRDefault="00962D9E" w:rsidP="00962D9E">
            <w:pPr>
              <w:autoSpaceDE w:val="0"/>
              <w:autoSpaceDN w:val="0"/>
              <w:adjustRightInd w:val="0"/>
              <w:spacing w:after="0" w:line="240" w:lineRule="auto"/>
              <w:rPr>
                <w:rFonts w:eastAsiaTheme="minorHAnsi" w:cs="Arial Narrow"/>
                <w:sz w:val="20"/>
                <w:szCs w:val="20"/>
                <w:lang w:eastAsia="en-US"/>
              </w:rPr>
            </w:pPr>
            <w:r w:rsidRPr="00BD79C4">
              <w:rPr>
                <w:rFonts w:eastAsiaTheme="minorHAnsi" w:cs="Arial Narrow"/>
                <w:sz w:val="20"/>
                <w:szCs w:val="20"/>
                <w:lang w:eastAsia="en-US"/>
              </w:rPr>
              <w:t>Budynek G i H – zabudowa bliźniacza</w:t>
            </w:r>
          </w:p>
          <w:p w14:paraId="76DC0901" w14:textId="77777777" w:rsidR="00962D9E" w:rsidRPr="00BD79C4" w:rsidRDefault="00962D9E" w:rsidP="00962D9E">
            <w:pPr>
              <w:autoSpaceDE w:val="0"/>
              <w:autoSpaceDN w:val="0"/>
              <w:adjustRightInd w:val="0"/>
              <w:spacing w:after="0" w:line="240" w:lineRule="auto"/>
              <w:rPr>
                <w:rFonts w:eastAsiaTheme="minorHAnsi" w:cs="Arial Narrow"/>
                <w:sz w:val="20"/>
                <w:szCs w:val="20"/>
                <w:lang w:eastAsia="en-US"/>
              </w:rPr>
            </w:pPr>
            <w:r w:rsidRPr="00BD79C4">
              <w:rPr>
                <w:rFonts w:eastAsiaTheme="minorHAnsi" w:cs="Arial Narrow"/>
                <w:sz w:val="20"/>
                <w:szCs w:val="20"/>
                <w:lang w:eastAsia="en-US"/>
              </w:rPr>
              <w:lastRenderedPageBreak/>
              <w:t xml:space="preserve">Odstęp między budynkiem I </w:t>
            </w:r>
            <w:proofErr w:type="spellStart"/>
            <w:r w:rsidRPr="00BD79C4">
              <w:rPr>
                <w:rFonts w:eastAsiaTheme="minorHAnsi" w:cs="Arial Narrow"/>
                <w:sz w:val="20"/>
                <w:szCs w:val="20"/>
                <w:lang w:eastAsia="en-US"/>
              </w:rPr>
              <w:t>i</w:t>
            </w:r>
            <w:proofErr w:type="spellEnd"/>
            <w:r w:rsidRPr="00BD79C4">
              <w:rPr>
                <w:rFonts w:eastAsiaTheme="minorHAnsi" w:cs="Arial Narrow"/>
                <w:sz w:val="20"/>
                <w:szCs w:val="20"/>
                <w:lang w:eastAsia="en-US"/>
              </w:rPr>
              <w:t xml:space="preserve"> D/E: 12m</w:t>
            </w:r>
          </w:p>
          <w:p w14:paraId="72525B61" w14:textId="77777777" w:rsidR="00962D9E" w:rsidRPr="00BD79C4" w:rsidRDefault="00962D9E" w:rsidP="00962D9E">
            <w:pPr>
              <w:autoSpaceDE w:val="0"/>
              <w:autoSpaceDN w:val="0"/>
              <w:adjustRightInd w:val="0"/>
              <w:spacing w:after="0" w:line="240" w:lineRule="auto"/>
              <w:rPr>
                <w:rFonts w:eastAsiaTheme="minorHAnsi" w:cs="Arial Narrow"/>
                <w:sz w:val="20"/>
                <w:szCs w:val="20"/>
                <w:lang w:eastAsia="en-US"/>
              </w:rPr>
            </w:pPr>
            <w:r w:rsidRPr="00BD79C4">
              <w:rPr>
                <w:rFonts w:eastAsiaTheme="minorHAnsi" w:cs="Arial Narrow"/>
                <w:sz w:val="20"/>
                <w:szCs w:val="20"/>
                <w:lang w:eastAsia="en-US"/>
              </w:rPr>
              <w:t xml:space="preserve">Budynek I </w:t>
            </w:r>
            <w:proofErr w:type="spellStart"/>
            <w:r w:rsidRPr="00BD79C4">
              <w:rPr>
                <w:rFonts w:eastAsiaTheme="minorHAnsi" w:cs="Arial Narrow"/>
                <w:sz w:val="20"/>
                <w:szCs w:val="20"/>
                <w:lang w:eastAsia="en-US"/>
              </w:rPr>
              <w:t>i</w:t>
            </w:r>
            <w:proofErr w:type="spellEnd"/>
            <w:r w:rsidRPr="00BD79C4">
              <w:rPr>
                <w:rFonts w:eastAsiaTheme="minorHAnsi" w:cs="Arial Narrow"/>
                <w:sz w:val="20"/>
                <w:szCs w:val="20"/>
                <w:lang w:eastAsia="en-US"/>
              </w:rPr>
              <w:t xml:space="preserve"> J – zabudowa bliźniacza</w:t>
            </w:r>
          </w:p>
          <w:p w14:paraId="5C88875B" w14:textId="77777777" w:rsidR="00962D9E" w:rsidRPr="00BD79C4" w:rsidRDefault="00962D9E" w:rsidP="00962D9E">
            <w:pPr>
              <w:autoSpaceDE w:val="0"/>
              <w:autoSpaceDN w:val="0"/>
              <w:adjustRightInd w:val="0"/>
              <w:spacing w:after="0" w:line="240" w:lineRule="auto"/>
              <w:rPr>
                <w:rFonts w:eastAsiaTheme="minorHAnsi" w:cs="Arial Narrow"/>
                <w:sz w:val="20"/>
                <w:szCs w:val="20"/>
                <w:lang w:eastAsia="en-US"/>
              </w:rPr>
            </w:pPr>
            <w:r w:rsidRPr="00BD79C4">
              <w:rPr>
                <w:rFonts w:eastAsiaTheme="minorHAnsi" w:cs="Arial Narrow"/>
                <w:sz w:val="20"/>
                <w:szCs w:val="20"/>
                <w:lang w:eastAsia="en-US"/>
              </w:rPr>
              <w:t>Odstęp między budynkiem J i K: 6m</w:t>
            </w:r>
          </w:p>
          <w:p w14:paraId="7CBD9648" w14:textId="77777777" w:rsidR="00962D9E" w:rsidRPr="00BD79C4" w:rsidRDefault="00962D9E" w:rsidP="00962D9E">
            <w:pPr>
              <w:autoSpaceDE w:val="0"/>
              <w:autoSpaceDN w:val="0"/>
              <w:adjustRightInd w:val="0"/>
              <w:spacing w:after="0" w:line="240" w:lineRule="auto"/>
              <w:rPr>
                <w:rFonts w:eastAsiaTheme="minorHAnsi" w:cs="Arial Narrow"/>
                <w:sz w:val="20"/>
                <w:szCs w:val="20"/>
                <w:lang w:eastAsia="en-US"/>
              </w:rPr>
            </w:pPr>
            <w:r w:rsidRPr="00BD79C4">
              <w:rPr>
                <w:rFonts w:eastAsiaTheme="minorHAnsi" w:cs="Arial Narrow"/>
                <w:sz w:val="20"/>
                <w:szCs w:val="20"/>
                <w:lang w:eastAsia="en-US"/>
              </w:rPr>
              <w:t>Budynek K i L – zabudowa bliźniacza</w:t>
            </w:r>
          </w:p>
          <w:p w14:paraId="103B3B66" w14:textId="77777777" w:rsidR="00962D9E" w:rsidRPr="00BD79C4" w:rsidRDefault="00962D9E" w:rsidP="00962D9E">
            <w:pPr>
              <w:autoSpaceDE w:val="0"/>
              <w:autoSpaceDN w:val="0"/>
              <w:adjustRightInd w:val="0"/>
              <w:spacing w:after="0" w:line="240" w:lineRule="auto"/>
              <w:rPr>
                <w:rFonts w:eastAsiaTheme="minorHAnsi" w:cs="Arial Narrow"/>
                <w:sz w:val="20"/>
                <w:szCs w:val="20"/>
                <w:lang w:eastAsia="en-US"/>
              </w:rPr>
            </w:pPr>
            <w:r w:rsidRPr="00BD79C4">
              <w:rPr>
                <w:rFonts w:eastAsiaTheme="minorHAnsi" w:cs="Arial Narrow"/>
                <w:sz w:val="20"/>
                <w:szCs w:val="20"/>
                <w:lang w:eastAsia="en-US"/>
              </w:rPr>
              <w:t>Odstęp między budynkiem L i M: 15m</w:t>
            </w:r>
          </w:p>
          <w:p w14:paraId="4B62799E" w14:textId="77777777" w:rsidR="00962D9E" w:rsidRPr="00BD79C4" w:rsidRDefault="00962D9E" w:rsidP="00962D9E">
            <w:pPr>
              <w:autoSpaceDE w:val="0"/>
              <w:autoSpaceDN w:val="0"/>
              <w:adjustRightInd w:val="0"/>
              <w:spacing w:after="0" w:line="240" w:lineRule="auto"/>
              <w:rPr>
                <w:rFonts w:eastAsiaTheme="minorHAnsi" w:cs="Arial Narrow"/>
                <w:sz w:val="20"/>
                <w:szCs w:val="20"/>
                <w:lang w:eastAsia="en-US"/>
              </w:rPr>
            </w:pPr>
            <w:r w:rsidRPr="00BD79C4">
              <w:rPr>
                <w:rFonts w:eastAsiaTheme="minorHAnsi" w:cs="Arial Narrow"/>
                <w:sz w:val="20"/>
                <w:szCs w:val="20"/>
                <w:lang w:eastAsia="en-US"/>
              </w:rPr>
              <w:t>Odstęp między budynkiem M i N: 9m</w:t>
            </w:r>
          </w:p>
          <w:p w14:paraId="1BE079C4" w14:textId="77777777" w:rsidR="00962D9E" w:rsidRPr="00BD79C4" w:rsidRDefault="00962D9E" w:rsidP="00962D9E">
            <w:pPr>
              <w:autoSpaceDE w:val="0"/>
              <w:autoSpaceDN w:val="0"/>
              <w:adjustRightInd w:val="0"/>
              <w:spacing w:after="0" w:line="240" w:lineRule="auto"/>
              <w:rPr>
                <w:rFonts w:eastAsiaTheme="minorHAnsi" w:cs="Arial Narrow"/>
                <w:sz w:val="20"/>
                <w:szCs w:val="20"/>
                <w:lang w:eastAsia="en-US"/>
              </w:rPr>
            </w:pPr>
            <w:r w:rsidRPr="00BD79C4">
              <w:rPr>
                <w:rFonts w:eastAsiaTheme="minorHAnsi" w:cs="Arial Narrow"/>
                <w:sz w:val="20"/>
                <w:szCs w:val="20"/>
                <w:lang w:eastAsia="en-US"/>
              </w:rPr>
              <w:t>Budynek N i O – zabudowa bliźniacza</w:t>
            </w:r>
          </w:p>
        </w:tc>
      </w:tr>
      <w:tr w:rsidR="00BD79C4" w:rsidRPr="00BD79C4" w14:paraId="37FA8453" w14:textId="77777777">
        <w:trPr>
          <w:trHeight w:val="612"/>
        </w:trPr>
        <w:tc>
          <w:tcPr>
            <w:tcW w:w="2920" w:type="dxa"/>
            <w:tcBorders>
              <w:bottom w:val="single" w:sz="4" w:space="0" w:color="auto"/>
            </w:tcBorders>
            <w:shd w:val="clear" w:color="auto" w:fill="D9D9D9" w:themeFill="background1" w:themeFillShade="D9"/>
          </w:tcPr>
          <w:p w14:paraId="203E7B61" w14:textId="77777777" w:rsidR="00962D9E" w:rsidRPr="00BD79C4" w:rsidRDefault="00962D9E" w:rsidP="00962D9E">
            <w:pPr>
              <w:pStyle w:val="Akapitzlist"/>
              <w:spacing w:before="40" w:after="0" w:line="240" w:lineRule="auto"/>
              <w:ind w:left="0"/>
              <w:jc w:val="both"/>
              <w:rPr>
                <w:rFonts w:cs="Arial"/>
                <w:sz w:val="20"/>
                <w:szCs w:val="20"/>
              </w:rPr>
            </w:pPr>
            <w:r w:rsidRPr="00BD79C4">
              <w:rPr>
                <w:rFonts w:cs="Arial"/>
                <w:sz w:val="20"/>
                <w:szCs w:val="20"/>
              </w:rPr>
              <w:lastRenderedPageBreak/>
              <w:t>Sposób pomiaru powierzchni lokalu mieszkalnego lub domu jednorodzinnego</w:t>
            </w:r>
          </w:p>
        </w:tc>
        <w:tc>
          <w:tcPr>
            <w:tcW w:w="6861" w:type="dxa"/>
            <w:gridSpan w:val="6"/>
            <w:tcBorders>
              <w:bottom w:val="single" w:sz="4" w:space="0" w:color="auto"/>
            </w:tcBorders>
          </w:tcPr>
          <w:p w14:paraId="180FFA1A" w14:textId="77777777" w:rsidR="00962D9E" w:rsidRPr="00BD79C4" w:rsidRDefault="00962D9E" w:rsidP="00962D9E">
            <w:pPr>
              <w:pStyle w:val="Akapitzlist"/>
              <w:spacing w:before="30" w:after="0" w:line="240" w:lineRule="auto"/>
              <w:ind w:left="0"/>
              <w:jc w:val="both"/>
              <w:rPr>
                <w:rFonts w:cs="Arial"/>
                <w:sz w:val="20"/>
                <w:szCs w:val="20"/>
              </w:rPr>
            </w:pPr>
            <w:r w:rsidRPr="00BD79C4">
              <w:rPr>
                <w:rFonts w:cs="Arial"/>
                <w:sz w:val="20"/>
                <w:szCs w:val="20"/>
              </w:rPr>
              <w:t>zgodnie z zasadami określonymi w rozporządzeniu Ministra Transportu, Budownictwa i Gospodarki Morskiej w sprawie szczegółowego zakresu i formy projektu budowlanego z dnia 25 kwietnia 2012 r. (Dz. U. z 2012 r. poz. 462)</w:t>
            </w:r>
          </w:p>
        </w:tc>
      </w:tr>
      <w:tr w:rsidR="00BD79C4" w:rsidRPr="00BD79C4" w14:paraId="0E88DAC7" w14:textId="77777777">
        <w:trPr>
          <w:trHeight w:val="612"/>
        </w:trPr>
        <w:tc>
          <w:tcPr>
            <w:tcW w:w="2920" w:type="dxa"/>
            <w:tcBorders>
              <w:bottom w:val="nil"/>
            </w:tcBorders>
            <w:shd w:val="clear" w:color="auto" w:fill="D9D9D9" w:themeFill="background1" w:themeFillShade="D9"/>
          </w:tcPr>
          <w:p w14:paraId="20B32591" w14:textId="77777777" w:rsidR="00962D9E" w:rsidRPr="00BD79C4" w:rsidRDefault="00962D9E" w:rsidP="00962D9E">
            <w:pPr>
              <w:pStyle w:val="Akapitzlist"/>
              <w:spacing w:before="40" w:after="0" w:line="240" w:lineRule="auto"/>
              <w:ind w:left="0"/>
              <w:jc w:val="both"/>
              <w:rPr>
                <w:rFonts w:cs="Arial"/>
                <w:sz w:val="20"/>
                <w:szCs w:val="20"/>
              </w:rPr>
            </w:pPr>
          </w:p>
        </w:tc>
        <w:tc>
          <w:tcPr>
            <w:tcW w:w="3430" w:type="dxa"/>
            <w:gridSpan w:val="4"/>
          </w:tcPr>
          <w:p w14:paraId="13B4F51C" w14:textId="77777777" w:rsidR="00962D9E" w:rsidRPr="00BD79C4" w:rsidRDefault="00962D9E" w:rsidP="00962D9E">
            <w:pPr>
              <w:pStyle w:val="Akapitzlist"/>
              <w:spacing w:before="30" w:after="0" w:line="240" w:lineRule="auto"/>
              <w:ind w:left="0"/>
              <w:rPr>
                <w:rFonts w:cs="Arial"/>
                <w:sz w:val="20"/>
                <w:szCs w:val="20"/>
              </w:rPr>
            </w:pPr>
            <w:r w:rsidRPr="00BD79C4">
              <w:rPr>
                <w:rFonts w:cs="Arial"/>
                <w:sz w:val="20"/>
                <w:szCs w:val="20"/>
              </w:rPr>
              <w:t xml:space="preserve">Rodzaj posiadanych środków finansowych- kredyt, </w:t>
            </w:r>
            <w:r w:rsidRPr="00BD79C4">
              <w:t>środki własne, inne</w:t>
            </w:r>
          </w:p>
        </w:tc>
        <w:tc>
          <w:tcPr>
            <w:tcW w:w="3431" w:type="dxa"/>
            <w:gridSpan w:val="2"/>
          </w:tcPr>
          <w:p w14:paraId="202BE6F3" w14:textId="77777777" w:rsidR="00962D9E" w:rsidRPr="00BD79C4" w:rsidRDefault="00962D9E" w:rsidP="00962D9E">
            <w:pPr>
              <w:autoSpaceDE w:val="0"/>
              <w:autoSpaceDN w:val="0"/>
              <w:adjustRightInd w:val="0"/>
              <w:spacing w:after="0" w:line="240" w:lineRule="auto"/>
              <w:jc w:val="both"/>
              <w:rPr>
                <w:rFonts w:eastAsiaTheme="minorHAnsi" w:cs="Helv"/>
                <w:sz w:val="20"/>
                <w:szCs w:val="20"/>
                <w:lang w:eastAsia="en-US"/>
              </w:rPr>
            </w:pPr>
            <w:r w:rsidRPr="00BD79C4">
              <w:rPr>
                <w:rFonts w:eastAsiaTheme="minorHAnsi" w:cs="Helv"/>
                <w:sz w:val="20"/>
                <w:szCs w:val="20"/>
                <w:lang w:eastAsia="en-US"/>
              </w:rPr>
              <w:t xml:space="preserve">Finansowanie 45% ze środków własnych Fabryki Domów SPOMET S.A., 55 % kredyt hipoteczny BNP </w:t>
            </w:r>
            <w:proofErr w:type="spellStart"/>
            <w:r w:rsidRPr="00BD79C4">
              <w:rPr>
                <w:rFonts w:eastAsiaTheme="minorHAnsi" w:cs="Helv"/>
                <w:sz w:val="20"/>
                <w:szCs w:val="20"/>
                <w:lang w:eastAsia="en-US"/>
              </w:rPr>
              <w:t>Paribas</w:t>
            </w:r>
            <w:proofErr w:type="spellEnd"/>
            <w:r w:rsidRPr="00BD79C4">
              <w:rPr>
                <w:rFonts w:eastAsiaTheme="minorHAnsi" w:cs="Helv"/>
                <w:sz w:val="20"/>
                <w:szCs w:val="20"/>
                <w:lang w:eastAsia="en-US"/>
              </w:rPr>
              <w:t xml:space="preserve"> Bank Polska S.A.; wpłaty klientów będą przeznaczone w pierwszej kolejności na spłatę kredytu hipotecznego BNP </w:t>
            </w:r>
            <w:proofErr w:type="spellStart"/>
            <w:r w:rsidRPr="00BD79C4">
              <w:rPr>
                <w:rFonts w:eastAsiaTheme="minorHAnsi" w:cs="Helv"/>
                <w:sz w:val="20"/>
                <w:szCs w:val="20"/>
                <w:lang w:eastAsia="en-US"/>
              </w:rPr>
              <w:t>Paribas</w:t>
            </w:r>
            <w:proofErr w:type="spellEnd"/>
            <w:r w:rsidRPr="00BD79C4">
              <w:rPr>
                <w:rFonts w:eastAsiaTheme="minorHAnsi" w:cs="Helv"/>
                <w:sz w:val="20"/>
                <w:szCs w:val="20"/>
                <w:lang w:eastAsia="en-US"/>
              </w:rPr>
              <w:t xml:space="preserve"> Bank Polska S.A.</w:t>
            </w:r>
          </w:p>
          <w:p w14:paraId="4F47BF75" w14:textId="77777777" w:rsidR="00962D9E" w:rsidRPr="00BD79C4" w:rsidRDefault="00962D9E" w:rsidP="00962D9E">
            <w:pPr>
              <w:pStyle w:val="Akapitzlist"/>
              <w:spacing w:before="30" w:after="0" w:line="240" w:lineRule="auto"/>
              <w:ind w:left="0"/>
              <w:rPr>
                <w:rFonts w:cs="Arial"/>
                <w:sz w:val="20"/>
                <w:szCs w:val="20"/>
              </w:rPr>
            </w:pPr>
          </w:p>
        </w:tc>
      </w:tr>
      <w:tr w:rsidR="00BD79C4" w:rsidRPr="00BD79C4" w14:paraId="04146F14" w14:textId="77777777">
        <w:trPr>
          <w:trHeight w:val="612"/>
        </w:trPr>
        <w:tc>
          <w:tcPr>
            <w:tcW w:w="2920" w:type="dxa"/>
            <w:tcBorders>
              <w:top w:val="nil"/>
            </w:tcBorders>
            <w:shd w:val="clear" w:color="auto" w:fill="D9D9D9" w:themeFill="background1" w:themeFillShade="D9"/>
          </w:tcPr>
          <w:p w14:paraId="333DADA8" w14:textId="77777777" w:rsidR="00962D9E" w:rsidRPr="00BD79C4" w:rsidRDefault="00962D9E" w:rsidP="00962D9E">
            <w:pPr>
              <w:pStyle w:val="Akapitzlist"/>
              <w:spacing w:before="40" w:after="0" w:line="240" w:lineRule="auto"/>
              <w:ind w:left="0"/>
              <w:jc w:val="both"/>
              <w:rPr>
                <w:rFonts w:cs="Arial"/>
                <w:sz w:val="20"/>
                <w:szCs w:val="20"/>
              </w:rPr>
            </w:pPr>
            <w:r w:rsidRPr="00BD79C4">
              <w:rPr>
                <w:rFonts w:cs="Arial"/>
                <w:sz w:val="20"/>
                <w:szCs w:val="20"/>
              </w:rPr>
              <w:t>Zamierzony sposób i procentowy udział źródeł finansowania przedsięwzięcia deweloperskiego lub zadania inwestycyjnego</w:t>
            </w:r>
          </w:p>
        </w:tc>
        <w:tc>
          <w:tcPr>
            <w:tcW w:w="3430" w:type="dxa"/>
            <w:gridSpan w:val="4"/>
          </w:tcPr>
          <w:p w14:paraId="603BC3B2" w14:textId="77777777" w:rsidR="00962D9E" w:rsidRPr="00BD79C4" w:rsidRDefault="00962D9E" w:rsidP="00962D9E">
            <w:pPr>
              <w:pStyle w:val="Akapitzlist"/>
              <w:spacing w:before="30" w:after="0" w:line="240" w:lineRule="auto"/>
              <w:ind w:left="0"/>
              <w:rPr>
                <w:rFonts w:cs="Arial"/>
                <w:sz w:val="20"/>
                <w:szCs w:val="20"/>
              </w:rPr>
            </w:pPr>
            <w:r w:rsidRPr="00BD79C4">
              <w:rPr>
                <w:rFonts w:cs="Arial"/>
                <w:sz w:val="20"/>
                <w:szCs w:val="20"/>
              </w:rPr>
              <w:t>W następujących instytucjach finansowych ( wypełnia się w przypadku kredytu)</w:t>
            </w:r>
          </w:p>
        </w:tc>
        <w:tc>
          <w:tcPr>
            <w:tcW w:w="3431" w:type="dxa"/>
            <w:gridSpan w:val="2"/>
          </w:tcPr>
          <w:p w14:paraId="6FCF704F" w14:textId="77777777" w:rsidR="00962D9E" w:rsidRPr="00BD79C4" w:rsidRDefault="00962D9E" w:rsidP="00962D9E">
            <w:pPr>
              <w:pStyle w:val="Akapitzlist"/>
              <w:spacing w:before="30" w:after="0" w:line="240" w:lineRule="auto"/>
              <w:ind w:left="0"/>
              <w:rPr>
                <w:rFonts w:cs="Arial"/>
                <w:sz w:val="20"/>
                <w:szCs w:val="20"/>
              </w:rPr>
            </w:pPr>
            <w:r w:rsidRPr="00BD79C4">
              <w:rPr>
                <w:rFonts w:eastAsiaTheme="minorHAnsi" w:cs="Helv"/>
                <w:sz w:val="20"/>
                <w:szCs w:val="20"/>
                <w:lang w:eastAsia="en-US"/>
              </w:rPr>
              <w:t>Procentowy udział może być zmienny w czasie w zależności od postępu inwestycji.</w:t>
            </w:r>
          </w:p>
        </w:tc>
      </w:tr>
      <w:tr w:rsidR="00BD79C4" w:rsidRPr="00BD79C4" w14:paraId="773E2B26" w14:textId="77777777">
        <w:trPr>
          <w:trHeight w:val="612"/>
        </w:trPr>
        <w:tc>
          <w:tcPr>
            <w:tcW w:w="2920" w:type="dxa"/>
            <w:tcBorders>
              <w:bottom w:val="nil"/>
            </w:tcBorders>
            <w:shd w:val="clear" w:color="auto" w:fill="D9D9D9" w:themeFill="background1" w:themeFillShade="D9"/>
          </w:tcPr>
          <w:p w14:paraId="1EF606CB" w14:textId="77777777" w:rsidR="00962D9E" w:rsidRPr="00BD79C4" w:rsidRDefault="00962D9E" w:rsidP="00962D9E">
            <w:pPr>
              <w:pStyle w:val="Akapitzlist"/>
              <w:spacing w:before="40" w:after="0" w:line="240" w:lineRule="auto"/>
              <w:ind w:left="0"/>
              <w:jc w:val="both"/>
              <w:rPr>
                <w:rFonts w:cs="Arial"/>
                <w:sz w:val="20"/>
                <w:szCs w:val="20"/>
              </w:rPr>
            </w:pPr>
            <w:r w:rsidRPr="00BD79C4">
              <w:rPr>
                <w:rFonts w:cs="Arial"/>
                <w:sz w:val="20"/>
                <w:szCs w:val="20"/>
              </w:rPr>
              <w:t>Środki ochrony nabywców</w:t>
            </w:r>
          </w:p>
        </w:tc>
        <w:tc>
          <w:tcPr>
            <w:tcW w:w="3099" w:type="dxa"/>
            <w:gridSpan w:val="3"/>
            <w:tcBorders>
              <w:bottom w:val="single" w:sz="4" w:space="0" w:color="auto"/>
            </w:tcBorders>
          </w:tcPr>
          <w:p w14:paraId="5F6F59E2" w14:textId="77777777" w:rsidR="00962D9E" w:rsidRPr="00BD79C4" w:rsidRDefault="00962D9E" w:rsidP="00962D9E">
            <w:pPr>
              <w:pStyle w:val="Akapitzlist"/>
              <w:spacing w:before="30" w:after="0" w:line="240" w:lineRule="auto"/>
              <w:ind w:left="0"/>
              <w:jc w:val="both"/>
              <w:rPr>
                <w:rFonts w:cs="Arial"/>
                <w:sz w:val="20"/>
                <w:szCs w:val="20"/>
                <w:highlight w:val="lightGray"/>
              </w:rPr>
            </w:pPr>
            <w:r w:rsidRPr="00BD79C4">
              <w:rPr>
                <w:rFonts w:cs="Arial"/>
                <w:strike/>
                <w:sz w:val="20"/>
                <w:szCs w:val="20"/>
                <w:highlight w:val="lightGray"/>
              </w:rPr>
              <w:t>Otwarty mieszkaniowy rachunek powiernicz</w:t>
            </w:r>
            <w:r w:rsidRPr="00BD79C4">
              <w:rPr>
                <w:rFonts w:cs="Arial"/>
                <w:sz w:val="20"/>
                <w:szCs w:val="20"/>
                <w:highlight w:val="lightGray"/>
              </w:rPr>
              <w:t>y</w:t>
            </w:r>
          </w:p>
        </w:tc>
        <w:tc>
          <w:tcPr>
            <w:tcW w:w="3762" w:type="dxa"/>
            <w:gridSpan w:val="3"/>
            <w:tcBorders>
              <w:bottom w:val="single" w:sz="4" w:space="0" w:color="auto"/>
            </w:tcBorders>
          </w:tcPr>
          <w:p w14:paraId="4DD81F86" w14:textId="77777777" w:rsidR="00962D9E" w:rsidRPr="00BD79C4" w:rsidRDefault="00962D9E" w:rsidP="00962D9E">
            <w:pPr>
              <w:pStyle w:val="Akapitzlist"/>
              <w:spacing w:before="120" w:after="0" w:line="240" w:lineRule="auto"/>
              <w:ind w:left="0"/>
              <w:jc w:val="center"/>
              <w:rPr>
                <w:rFonts w:cs="Arial"/>
                <w:sz w:val="20"/>
                <w:szCs w:val="20"/>
              </w:rPr>
            </w:pPr>
            <w:r w:rsidRPr="00BD79C4">
              <w:rPr>
                <w:rFonts w:cs="Arial"/>
                <w:sz w:val="20"/>
                <w:szCs w:val="20"/>
              </w:rPr>
              <w:t>Zamknięty mieszkaniowy rachunek powierniczy</w:t>
            </w:r>
          </w:p>
        </w:tc>
      </w:tr>
      <w:tr w:rsidR="00BD79C4" w:rsidRPr="00BD79C4" w14:paraId="355F59D6" w14:textId="77777777">
        <w:trPr>
          <w:trHeight w:val="612"/>
        </w:trPr>
        <w:tc>
          <w:tcPr>
            <w:tcW w:w="2920" w:type="dxa"/>
            <w:tcBorders>
              <w:top w:val="nil"/>
              <w:bottom w:val="nil"/>
            </w:tcBorders>
            <w:shd w:val="clear" w:color="auto" w:fill="D9D9D9" w:themeFill="background1" w:themeFillShade="D9"/>
          </w:tcPr>
          <w:p w14:paraId="270A37FC" w14:textId="77777777" w:rsidR="00962D9E" w:rsidRPr="00BD79C4" w:rsidRDefault="00962D9E" w:rsidP="00962D9E">
            <w:pPr>
              <w:pStyle w:val="Akapitzlist"/>
              <w:spacing w:before="40" w:after="0" w:line="240" w:lineRule="auto"/>
              <w:ind w:left="0"/>
              <w:jc w:val="both"/>
              <w:rPr>
                <w:rFonts w:cs="Arial"/>
                <w:sz w:val="20"/>
                <w:szCs w:val="20"/>
              </w:rPr>
            </w:pPr>
          </w:p>
        </w:tc>
        <w:tc>
          <w:tcPr>
            <w:tcW w:w="6861" w:type="dxa"/>
            <w:gridSpan w:val="6"/>
            <w:tcBorders>
              <w:bottom w:val="nil"/>
            </w:tcBorders>
          </w:tcPr>
          <w:p w14:paraId="4E1276AB" w14:textId="77777777" w:rsidR="00962D9E" w:rsidRPr="00BD79C4" w:rsidRDefault="00962D9E" w:rsidP="00962D9E">
            <w:pPr>
              <w:pStyle w:val="Akapitzlist"/>
              <w:spacing w:before="30" w:after="0" w:line="240" w:lineRule="auto"/>
              <w:ind w:left="0"/>
              <w:jc w:val="both"/>
              <w:rPr>
                <w:rFonts w:cs="Arial"/>
                <w:sz w:val="20"/>
                <w:szCs w:val="20"/>
                <w:highlight w:val="lightGray"/>
              </w:rPr>
            </w:pPr>
            <w:r w:rsidRPr="00BD79C4">
              <w:rPr>
                <w:rFonts w:cs="Arial"/>
                <w:sz w:val="20"/>
                <w:szCs w:val="20"/>
              </w:rPr>
              <w:t>Wysokość stawki procentowej,- Deweloperski Fundusz Gwarancyjny</w:t>
            </w:r>
            <w:r w:rsidRPr="00BD79C4">
              <w:rPr>
                <w:rStyle w:val="Odwoanieprzypisudolnego"/>
                <w:rFonts w:cs="Arial"/>
                <w:sz w:val="20"/>
                <w:szCs w:val="20"/>
              </w:rPr>
              <w:footnoteReference w:id="7"/>
            </w:r>
            <w:r w:rsidRPr="00BD79C4">
              <w:rPr>
                <w:rFonts w:cs="Arial"/>
                <w:sz w:val="20"/>
                <w:szCs w:val="20"/>
              </w:rPr>
              <w:t xml:space="preserve"> 0,1%</w:t>
            </w:r>
          </w:p>
        </w:tc>
      </w:tr>
      <w:tr w:rsidR="00BD79C4" w:rsidRPr="00BD79C4" w14:paraId="196F4322" w14:textId="77777777">
        <w:trPr>
          <w:trHeight w:val="612"/>
        </w:trPr>
        <w:tc>
          <w:tcPr>
            <w:tcW w:w="2920" w:type="dxa"/>
            <w:shd w:val="clear" w:color="auto" w:fill="D9D9D9" w:themeFill="background1" w:themeFillShade="D9"/>
          </w:tcPr>
          <w:p w14:paraId="3F0420C2" w14:textId="77777777" w:rsidR="00962D9E" w:rsidRPr="00BD79C4" w:rsidRDefault="00962D9E" w:rsidP="00962D9E">
            <w:pPr>
              <w:pStyle w:val="Akapitzlist"/>
              <w:spacing w:before="40" w:after="0" w:line="240" w:lineRule="auto"/>
              <w:ind w:left="0"/>
              <w:jc w:val="both"/>
              <w:rPr>
                <w:rFonts w:cs="Arial"/>
                <w:sz w:val="20"/>
                <w:szCs w:val="20"/>
              </w:rPr>
            </w:pPr>
            <w:r w:rsidRPr="00BD79C4">
              <w:rPr>
                <w:rFonts w:cs="Arial"/>
                <w:sz w:val="20"/>
                <w:szCs w:val="20"/>
              </w:rPr>
              <w:t>Główne zasady funkcjonowania wybranego rodzaju zabezpieczenia środków nabywcy</w:t>
            </w:r>
          </w:p>
        </w:tc>
        <w:tc>
          <w:tcPr>
            <w:tcW w:w="6861" w:type="dxa"/>
            <w:gridSpan w:val="6"/>
          </w:tcPr>
          <w:p w14:paraId="1C699469" w14:textId="77777777" w:rsidR="00962D9E" w:rsidRPr="00BD79C4" w:rsidRDefault="00962D9E" w:rsidP="00962D9E">
            <w:pPr>
              <w:spacing w:before="30" w:after="0" w:line="240" w:lineRule="auto"/>
              <w:jc w:val="both"/>
              <w:rPr>
                <w:rFonts w:cs="Arial"/>
                <w:sz w:val="20"/>
                <w:szCs w:val="20"/>
                <w:highlight w:val="lightGray"/>
              </w:rPr>
            </w:pPr>
            <w:r w:rsidRPr="00BD79C4">
              <w:rPr>
                <w:rFonts w:cs="Arial"/>
                <w:sz w:val="20"/>
                <w:szCs w:val="20"/>
              </w:rPr>
              <w:t>rachunek zamknięty, z którego wypłata następuje po zakończeniu przedsięwzięcia deweloperskiego określonego w umowie deweloperskiej.</w:t>
            </w:r>
          </w:p>
        </w:tc>
      </w:tr>
      <w:tr w:rsidR="00BD79C4" w:rsidRPr="00BD79C4" w14:paraId="606F4FAD" w14:textId="77777777">
        <w:trPr>
          <w:trHeight w:val="612"/>
        </w:trPr>
        <w:tc>
          <w:tcPr>
            <w:tcW w:w="2920" w:type="dxa"/>
            <w:shd w:val="clear" w:color="auto" w:fill="D9D9D9" w:themeFill="background1" w:themeFillShade="D9"/>
          </w:tcPr>
          <w:p w14:paraId="5C6F31A9" w14:textId="77777777" w:rsidR="00962D9E" w:rsidRPr="00BD79C4" w:rsidRDefault="00962D9E" w:rsidP="00962D9E">
            <w:pPr>
              <w:pStyle w:val="Akapitzlist"/>
              <w:spacing w:before="40" w:after="0" w:line="240" w:lineRule="auto"/>
              <w:ind w:left="0"/>
              <w:rPr>
                <w:rFonts w:cs="Arial"/>
                <w:sz w:val="20"/>
                <w:szCs w:val="20"/>
              </w:rPr>
            </w:pPr>
            <w:r w:rsidRPr="00BD79C4">
              <w:rPr>
                <w:rFonts w:cs="Arial"/>
                <w:sz w:val="20"/>
                <w:szCs w:val="20"/>
              </w:rPr>
              <w:t>Nazwa instytucji zapewniającej bezpieczeństwo środków nabywcy</w:t>
            </w:r>
          </w:p>
        </w:tc>
        <w:tc>
          <w:tcPr>
            <w:tcW w:w="6861" w:type="dxa"/>
            <w:gridSpan w:val="6"/>
          </w:tcPr>
          <w:p w14:paraId="30D11715" w14:textId="77777777" w:rsidR="00962D9E" w:rsidRPr="00BD79C4" w:rsidRDefault="00962D9E" w:rsidP="00962D9E">
            <w:pPr>
              <w:spacing w:before="30" w:after="0" w:line="240" w:lineRule="auto"/>
              <w:jc w:val="both"/>
              <w:rPr>
                <w:rFonts w:cs="Arial"/>
                <w:sz w:val="20"/>
                <w:szCs w:val="20"/>
                <w:highlight w:val="lightGray"/>
              </w:rPr>
            </w:pPr>
            <w:r w:rsidRPr="00BD79C4">
              <w:rPr>
                <w:rFonts w:cs="Arial"/>
                <w:sz w:val="20"/>
                <w:szCs w:val="20"/>
              </w:rPr>
              <w:t xml:space="preserve">Millenium Bank S.A. </w:t>
            </w:r>
          </w:p>
        </w:tc>
      </w:tr>
      <w:tr w:rsidR="00BD79C4" w:rsidRPr="00BD79C4" w14:paraId="39310F29" w14:textId="77777777">
        <w:trPr>
          <w:trHeight w:val="612"/>
        </w:trPr>
        <w:tc>
          <w:tcPr>
            <w:tcW w:w="2920" w:type="dxa"/>
            <w:shd w:val="clear" w:color="auto" w:fill="D9D9D9" w:themeFill="background1" w:themeFillShade="D9"/>
          </w:tcPr>
          <w:p w14:paraId="295091E4" w14:textId="77777777" w:rsidR="00962D9E" w:rsidRPr="00BD79C4" w:rsidRDefault="00962D9E" w:rsidP="00962D9E">
            <w:pPr>
              <w:pStyle w:val="Akapitzlist"/>
              <w:spacing w:before="40" w:after="0" w:line="240" w:lineRule="auto"/>
              <w:ind w:left="0"/>
              <w:rPr>
                <w:rFonts w:cs="Arial"/>
                <w:sz w:val="20"/>
                <w:szCs w:val="20"/>
              </w:rPr>
            </w:pPr>
            <w:r w:rsidRPr="00BD79C4">
              <w:rPr>
                <w:rFonts w:cs="Arial"/>
                <w:sz w:val="20"/>
                <w:szCs w:val="20"/>
              </w:rPr>
              <w:t>Harmonogram przedsięwzięcia deweloperskiego, w etapach</w:t>
            </w:r>
          </w:p>
        </w:tc>
        <w:tc>
          <w:tcPr>
            <w:tcW w:w="6861" w:type="dxa"/>
            <w:gridSpan w:val="6"/>
            <w:tcMar>
              <w:left w:w="0" w:type="dxa"/>
              <w:right w:w="0" w:type="dxa"/>
            </w:tcMar>
          </w:tcPr>
          <w:tbl>
            <w:tblPr>
              <w:tblW w:w="6662" w:type="dxa"/>
              <w:tblInd w:w="23" w:type="dxa"/>
              <w:tblCellMar>
                <w:left w:w="70" w:type="dxa"/>
                <w:right w:w="70" w:type="dxa"/>
              </w:tblCellMar>
              <w:tblLook w:val="04A0" w:firstRow="1" w:lastRow="0" w:firstColumn="1" w:lastColumn="0" w:noHBand="0" w:noVBand="1"/>
            </w:tblPr>
            <w:tblGrid>
              <w:gridCol w:w="2854"/>
              <w:gridCol w:w="1360"/>
              <w:gridCol w:w="2448"/>
            </w:tblGrid>
            <w:tr w:rsidR="00BD79C4" w:rsidRPr="00BD79C4" w14:paraId="392A4D88" w14:textId="77777777">
              <w:trPr>
                <w:gridAfter w:val="1"/>
                <w:wAfter w:w="2448" w:type="dxa"/>
                <w:trHeight w:val="509"/>
              </w:trPr>
              <w:tc>
                <w:tcPr>
                  <w:tcW w:w="2854" w:type="dxa"/>
                  <w:vMerge w:val="restart"/>
                  <w:tcBorders>
                    <w:top w:val="single" w:sz="4" w:space="0" w:color="auto"/>
                    <w:left w:val="single" w:sz="4" w:space="0" w:color="auto"/>
                    <w:bottom w:val="single" w:sz="4" w:space="0" w:color="auto"/>
                    <w:right w:val="single" w:sz="4" w:space="0" w:color="auto"/>
                  </w:tcBorders>
                  <w:shd w:val="clear" w:color="000000" w:fill="D9D9D9"/>
                  <w:vAlign w:val="center"/>
                </w:tcPr>
                <w:p w14:paraId="12F99CD7" w14:textId="77777777" w:rsidR="00962D9E" w:rsidRPr="00BD79C4" w:rsidRDefault="00962D9E" w:rsidP="00962D9E">
                  <w:pPr>
                    <w:spacing w:line="240" w:lineRule="auto"/>
                    <w:rPr>
                      <w:rFonts w:cs="Tahoma"/>
                      <w:bCs/>
                      <w:sz w:val="20"/>
                      <w:szCs w:val="20"/>
                    </w:rPr>
                  </w:pPr>
                  <w:r w:rsidRPr="00BD79C4">
                    <w:rPr>
                      <w:rFonts w:cs="Tahoma"/>
                      <w:bCs/>
                      <w:sz w:val="20"/>
                      <w:szCs w:val="20"/>
                    </w:rPr>
                    <w:t xml:space="preserve">Etapy realizacji inwestycji dla </w:t>
                  </w:r>
                </w:p>
              </w:tc>
              <w:tc>
                <w:tcPr>
                  <w:tcW w:w="1360" w:type="dxa"/>
                  <w:vMerge w:val="restart"/>
                  <w:tcBorders>
                    <w:top w:val="single" w:sz="12" w:space="0" w:color="auto"/>
                    <w:left w:val="single" w:sz="4" w:space="0" w:color="auto"/>
                    <w:bottom w:val="single" w:sz="8" w:space="0" w:color="000000"/>
                    <w:right w:val="single" w:sz="8" w:space="0" w:color="auto"/>
                  </w:tcBorders>
                  <w:shd w:val="clear" w:color="000000" w:fill="D9D9D9"/>
                  <w:vAlign w:val="center"/>
                </w:tcPr>
                <w:p w14:paraId="0D02A2C0" w14:textId="77777777" w:rsidR="00962D9E" w:rsidRPr="00BD79C4" w:rsidRDefault="00962D9E" w:rsidP="00962D9E">
                  <w:pPr>
                    <w:spacing w:line="240" w:lineRule="auto"/>
                    <w:jc w:val="center"/>
                    <w:rPr>
                      <w:rFonts w:cs="Tahoma"/>
                      <w:bCs/>
                      <w:sz w:val="20"/>
                      <w:szCs w:val="20"/>
                    </w:rPr>
                  </w:pPr>
                  <w:r w:rsidRPr="00BD79C4">
                    <w:rPr>
                      <w:rFonts w:cs="Tahoma"/>
                      <w:bCs/>
                      <w:sz w:val="20"/>
                      <w:szCs w:val="20"/>
                    </w:rPr>
                    <w:t>Procentowy szacunkowy podział kosztów [%]</w:t>
                  </w:r>
                </w:p>
              </w:tc>
            </w:tr>
            <w:tr w:rsidR="00BD79C4" w:rsidRPr="00BD79C4" w14:paraId="4FDEA701" w14:textId="77777777">
              <w:trPr>
                <w:trHeight w:val="405"/>
              </w:trPr>
              <w:tc>
                <w:tcPr>
                  <w:tcW w:w="2854" w:type="dxa"/>
                  <w:vMerge/>
                  <w:tcBorders>
                    <w:top w:val="single" w:sz="4" w:space="0" w:color="auto"/>
                    <w:left w:val="single" w:sz="4" w:space="0" w:color="auto"/>
                    <w:bottom w:val="single" w:sz="4" w:space="0" w:color="auto"/>
                    <w:right w:val="single" w:sz="4" w:space="0" w:color="auto"/>
                  </w:tcBorders>
                  <w:vAlign w:val="center"/>
                </w:tcPr>
                <w:p w14:paraId="26ED3393" w14:textId="77777777" w:rsidR="00962D9E" w:rsidRPr="00BD79C4" w:rsidRDefault="00962D9E" w:rsidP="00962D9E">
                  <w:pPr>
                    <w:spacing w:line="240" w:lineRule="auto"/>
                    <w:rPr>
                      <w:rFonts w:cs="Tahoma"/>
                      <w:bCs/>
                      <w:sz w:val="20"/>
                      <w:szCs w:val="20"/>
                    </w:rPr>
                  </w:pPr>
                </w:p>
              </w:tc>
              <w:tc>
                <w:tcPr>
                  <w:tcW w:w="1360" w:type="dxa"/>
                  <w:vMerge/>
                  <w:tcBorders>
                    <w:top w:val="single" w:sz="12" w:space="0" w:color="auto"/>
                    <w:left w:val="single" w:sz="4" w:space="0" w:color="auto"/>
                    <w:bottom w:val="single" w:sz="4" w:space="0" w:color="auto"/>
                    <w:right w:val="single" w:sz="8" w:space="0" w:color="auto"/>
                  </w:tcBorders>
                  <w:vAlign w:val="center"/>
                </w:tcPr>
                <w:p w14:paraId="74E047B8" w14:textId="77777777" w:rsidR="00962D9E" w:rsidRPr="00BD79C4" w:rsidRDefault="00962D9E" w:rsidP="00962D9E">
                  <w:pPr>
                    <w:spacing w:line="240" w:lineRule="auto"/>
                    <w:rPr>
                      <w:rFonts w:cs="Tahoma"/>
                      <w:bCs/>
                      <w:sz w:val="20"/>
                      <w:szCs w:val="20"/>
                    </w:rPr>
                  </w:pPr>
                </w:p>
              </w:tc>
              <w:tc>
                <w:tcPr>
                  <w:tcW w:w="2448" w:type="dxa"/>
                  <w:tcBorders>
                    <w:top w:val="single" w:sz="4" w:space="0" w:color="auto"/>
                    <w:left w:val="nil"/>
                    <w:right w:val="single" w:sz="12" w:space="0" w:color="auto"/>
                  </w:tcBorders>
                  <w:shd w:val="clear" w:color="000000" w:fill="D9D9D9"/>
                  <w:vAlign w:val="center"/>
                </w:tcPr>
                <w:p w14:paraId="5B2C5C52" w14:textId="77777777" w:rsidR="00962D9E" w:rsidRPr="00BD79C4" w:rsidRDefault="00962D9E" w:rsidP="00962D9E">
                  <w:pPr>
                    <w:spacing w:line="240" w:lineRule="auto"/>
                    <w:jc w:val="center"/>
                    <w:rPr>
                      <w:rFonts w:cs="Tahoma"/>
                      <w:bCs/>
                      <w:sz w:val="20"/>
                      <w:szCs w:val="20"/>
                    </w:rPr>
                  </w:pPr>
                  <w:r w:rsidRPr="00BD79C4">
                    <w:rPr>
                      <w:rFonts w:cs="Tahoma"/>
                      <w:bCs/>
                      <w:sz w:val="20"/>
                      <w:szCs w:val="20"/>
                    </w:rPr>
                    <w:t>Data zakończenia</w:t>
                  </w:r>
                </w:p>
              </w:tc>
            </w:tr>
            <w:tr w:rsidR="00BD79C4" w:rsidRPr="00BD79C4" w14:paraId="5177D344" w14:textId="77777777">
              <w:trPr>
                <w:trHeight w:val="303"/>
              </w:trPr>
              <w:tc>
                <w:tcPr>
                  <w:tcW w:w="2854" w:type="dxa"/>
                  <w:tcBorders>
                    <w:top w:val="single" w:sz="4" w:space="0" w:color="auto"/>
                    <w:left w:val="single" w:sz="4" w:space="0" w:color="auto"/>
                    <w:bottom w:val="single" w:sz="4" w:space="0" w:color="auto"/>
                    <w:right w:val="single" w:sz="4" w:space="0" w:color="auto"/>
                  </w:tcBorders>
                  <w:vAlign w:val="center"/>
                </w:tcPr>
                <w:p w14:paraId="2BB9BCD0" w14:textId="77777777" w:rsidR="00962D9E" w:rsidRPr="00BD79C4" w:rsidRDefault="00962D9E" w:rsidP="00962D9E">
                  <w:pPr>
                    <w:spacing w:line="240" w:lineRule="auto"/>
                    <w:rPr>
                      <w:rFonts w:cs="Tahoma"/>
                      <w:sz w:val="20"/>
                      <w:szCs w:val="20"/>
                    </w:rPr>
                  </w:pPr>
                  <w:r w:rsidRPr="00BD79C4">
                    <w:rPr>
                      <w:rFonts w:cs="Arial"/>
                      <w:sz w:val="20"/>
                      <w:szCs w:val="20"/>
                    </w:rPr>
                    <w:t>Uwolnienie środków z Zamkniętego Rachunku Powierniczego następuje dopiero po zakończeniu przedsięwzięcia deweloperskiego określonego w umowie deweloperskiej.</w:t>
                  </w:r>
                </w:p>
              </w:tc>
              <w:tc>
                <w:tcPr>
                  <w:tcW w:w="1360" w:type="dxa"/>
                  <w:tcBorders>
                    <w:top w:val="single" w:sz="4" w:space="0" w:color="auto"/>
                    <w:left w:val="single" w:sz="4" w:space="0" w:color="auto"/>
                    <w:bottom w:val="single" w:sz="4" w:space="0" w:color="auto"/>
                    <w:right w:val="single" w:sz="4" w:space="0" w:color="auto"/>
                  </w:tcBorders>
                  <w:vAlign w:val="center"/>
                </w:tcPr>
                <w:p w14:paraId="0F8D3D2D" w14:textId="77777777" w:rsidR="00962D9E" w:rsidRPr="00BD79C4" w:rsidRDefault="00962D9E" w:rsidP="00962D9E">
                  <w:pPr>
                    <w:spacing w:line="240" w:lineRule="auto"/>
                    <w:jc w:val="right"/>
                    <w:rPr>
                      <w:rFonts w:cs="Tahoma"/>
                      <w:sz w:val="20"/>
                      <w:szCs w:val="20"/>
                    </w:rPr>
                  </w:pPr>
                  <w:r w:rsidRPr="00BD79C4">
                    <w:rPr>
                      <w:rFonts w:cs="Tahoma"/>
                      <w:sz w:val="20"/>
                      <w:szCs w:val="20"/>
                    </w:rPr>
                    <w:t>100%</w:t>
                  </w:r>
                </w:p>
              </w:tc>
              <w:tc>
                <w:tcPr>
                  <w:tcW w:w="2448" w:type="dxa"/>
                  <w:tcBorders>
                    <w:left w:val="single" w:sz="4" w:space="0" w:color="auto"/>
                  </w:tcBorders>
                  <w:vAlign w:val="center"/>
                </w:tcPr>
                <w:p w14:paraId="38709102" w14:textId="77777777" w:rsidR="00962D9E" w:rsidRPr="00BD79C4" w:rsidRDefault="00962D9E" w:rsidP="00962D9E">
                  <w:pPr>
                    <w:spacing w:line="240" w:lineRule="auto"/>
                    <w:jc w:val="both"/>
                    <w:rPr>
                      <w:rFonts w:cs="Tahoma"/>
                      <w:sz w:val="20"/>
                      <w:szCs w:val="20"/>
                    </w:rPr>
                  </w:pPr>
                </w:p>
              </w:tc>
            </w:tr>
          </w:tbl>
          <w:p w14:paraId="7CF0B3DD" w14:textId="77777777" w:rsidR="00962D9E" w:rsidRPr="00BD79C4" w:rsidRDefault="00962D9E" w:rsidP="00962D9E">
            <w:pPr>
              <w:pStyle w:val="Akapitzlist"/>
              <w:spacing w:before="30" w:after="0" w:line="240" w:lineRule="auto"/>
              <w:ind w:left="0"/>
              <w:jc w:val="both"/>
              <w:rPr>
                <w:rFonts w:cs="Arial"/>
                <w:sz w:val="20"/>
                <w:szCs w:val="20"/>
              </w:rPr>
            </w:pPr>
          </w:p>
        </w:tc>
      </w:tr>
      <w:tr w:rsidR="00BD79C4" w:rsidRPr="00BD79C4" w14:paraId="32E4AC82" w14:textId="77777777">
        <w:trPr>
          <w:trHeight w:val="612"/>
        </w:trPr>
        <w:tc>
          <w:tcPr>
            <w:tcW w:w="2920" w:type="dxa"/>
            <w:shd w:val="clear" w:color="auto" w:fill="D9D9D9" w:themeFill="background1" w:themeFillShade="D9"/>
          </w:tcPr>
          <w:p w14:paraId="2A1F64B3" w14:textId="77777777" w:rsidR="00962D9E" w:rsidRPr="00BD79C4" w:rsidRDefault="00962D9E" w:rsidP="00962D9E">
            <w:pPr>
              <w:pStyle w:val="Akapitzlist"/>
              <w:spacing w:before="40" w:after="0" w:line="240" w:lineRule="auto"/>
              <w:ind w:left="0"/>
              <w:rPr>
                <w:rFonts w:cs="Arial"/>
                <w:sz w:val="20"/>
                <w:szCs w:val="20"/>
              </w:rPr>
            </w:pPr>
            <w:r w:rsidRPr="00BD79C4">
              <w:rPr>
                <w:rFonts w:cs="Arial"/>
                <w:sz w:val="20"/>
                <w:szCs w:val="20"/>
              </w:rPr>
              <w:t>Dopuszczenie waloryzacji ceny oraz określenie zasad waloryzacji</w:t>
            </w:r>
          </w:p>
        </w:tc>
        <w:tc>
          <w:tcPr>
            <w:tcW w:w="6861" w:type="dxa"/>
            <w:gridSpan w:val="6"/>
          </w:tcPr>
          <w:p w14:paraId="1166E179" w14:textId="77777777" w:rsidR="00962D9E" w:rsidRPr="00BD79C4" w:rsidRDefault="00962D9E" w:rsidP="00962D9E">
            <w:pPr>
              <w:pStyle w:val="Akapitzlist"/>
              <w:spacing w:before="30" w:after="0" w:line="240" w:lineRule="auto"/>
              <w:ind w:left="0"/>
              <w:jc w:val="both"/>
              <w:rPr>
                <w:rFonts w:cs="Arial"/>
                <w:sz w:val="20"/>
                <w:szCs w:val="20"/>
              </w:rPr>
            </w:pPr>
            <w:r w:rsidRPr="00BD79C4">
              <w:rPr>
                <w:rFonts w:cs="Arial"/>
                <w:sz w:val="20"/>
                <w:szCs w:val="20"/>
              </w:rPr>
              <w:t>brak waloryzacji</w:t>
            </w:r>
          </w:p>
        </w:tc>
      </w:tr>
      <w:tr w:rsidR="00BD79C4" w:rsidRPr="00BD79C4" w14:paraId="5EF06AFA" w14:textId="77777777">
        <w:trPr>
          <w:trHeight w:val="612"/>
        </w:trPr>
        <w:tc>
          <w:tcPr>
            <w:tcW w:w="9781" w:type="dxa"/>
            <w:gridSpan w:val="7"/>
            <w:shd w:val="clear" w:color="auto" w:fill="BFBFBF" w:themeFill="background1" w:themeFillShade="BF"/>
          </w:tcPr>
          <w:p w14:paraId="09BAD0FF" w14:textId="77777777" w:rsidR="00962D9E" w:rsidRPr="00BD79C4" w:rsidRDefault="00962D9E" w:rsidP="00962D9E">
            <w:pPr>
              <w:pStyle w:val="Akapitzlist"/>
              <w:spacing w:before="120" w:after="0" w:line="240" w:lineRule="auto"/>
              <w:ind w:left="0"/>
              <w:jc w:val="both"/>
              <w:rPr>
                <w:rFonts w:cs="Arial"/>
                <w:b/>
                <w:sz w:val="20"/>
                <w:szCs w:val="20"/>
              </w:rPr>
            </w:pPr>
            <w:r w:rsidRPr="00BD79C4">
              <w:rPr>
                <w:rFonts w:cs="Arial"/>
                <w:b/>
                <w:sz w:val="20"/>
                <w:szCs w:val="20"/>
              </w:rPr>
              <w:t>WARUNKI ODSTĄPIENIA OD UMOWY DEWELOPERSKIEJ LUB UMOWY, O KTÓREJ MOWA W ART.2 UST.1 PKT 2, 3 LUB 5 USTAWY Z DNIA 20 MAJA 2021 R. O OCHRONIE PRAW NABYWCY LOKALU MIESZKALNEGO LUB DOMU JEDNORODZINNEGO ORAZ DEWELOPERSKIM FUNDUSZU GWARANCYJNYM</w:t>
            </w:r>
          </w:p>
        </w:tc>
      </w:tr>
      <w:tr w:rsidR="00BD79C4" w:rsidRPr="00BD79C4" w14:paraId="329A853F" w14:textId="77777777">
        <w:trPr>
          <w:trHeight w:val="612"/>
        </w:trPr>
        <w:tc>
          <w:tcPr>
            <w:tcW w:w="2920" w:type="dxa"/>
            <w:shd w:val="clear" w:color="auto" w:fill="D9D9D9" w:themeFill="background1" w:themeFillShade="D9"/>
          </w:tcPr>
          <w:p w14:paraId="4844D655" w14:textId="77777777" w:rsidR="00962D9E" w:rsidRPr="00BD79C4" w:rsidRDefault="00962D9E" w:rsidP="00962D9E">
            <w:pPr>
              <w:pStyle w:val="Akapitzlist"/>
              <w:spacing w:before="40" w:after="0" w:line="240" w:lineRule="auto"/>
              <w:ind w:left="0"/>
              <w:rPr>
                <w:rFonts w:cs="Arial"/>
                <w:sz w:val="20"/>
                <w:szCs w:val="20"/>
              </w:rPr>
            </w:pPr>
            <w:r w:rsidRPr="00BD79C4">
              <w:rPr>
                <w:rFonts w:cs="Arial"/>
                <w:sz w:val="20"/>
                <w:szCs w:val="20"/>
              </w:rPr>
              <w:lastRenderedPageBreak/>
              <w:t>Warunki, na jakich można odstąpić od umowy deweloperskiej lub jednej z umów, o których mowa w art.2 ust.1 pkt 2, 3 lub 5 ustawy z dnia 20 maja 2021 r. o ochronie praw nabywcy lokalu mieszkalnego lub domu jednorodzinnego oraz Funduszu Gwarancyjnym.</w:t>
            </w:r>
          </w:p>
        </w:tc>
        <w:tc>
          <w:tcPr>
            <w:tcW w:w="6861" w:type="dxa"/>
            <w:gridSpan w:val="6"/>
          </w:tcPr>
          <w:p w14:paraId="13DF48BC" w14:textId="77777777" w:rsidR="00962D9E" w:rsidRPr="00BD79C4" w:rsidRDefault="00962D9E" w:rsidP="00962D9E">
            <w:pPr>
              <w:shd w:val="clear" w:color="auto" w:fill="FFFFFF"/>
              <w:spacing w:after="0" w:line="336" w:lineRule="atLeast"/>
              <w:rPr>
                <w:rFonts w:eastAsia="Times New Roman" w:cstheme="minorHAnsi"/>
                <w:sz w:val="20"/>
                <w:szCs w:val="20"/>
              </w:rPr>
            </w:pPr>
            <w:r w:rsidRPr="00BD79C4">
              <w:rPr>
                <w:rFonts w:eastAsia="Times New Roman"/>
                <w:sz w:val="20"/>
                <w:szCs w:val="20"/>
              </w:rPr>
              <w:t xml:space="preserve">I. </w:t>
            </w:r>
            <w:r w:rsidRPr="00BD79C4">
              <w:rPr>
                <w:rFonts w:eastAsia="Times New Roman" w:cstheme="minorHAnsi"/>
                <w:sz w:val="20"/>
                <w:szCs w:val="20"/>
              </w:rPr>
              <w:t>Art.  43.  [Przesłanki odstąpienia od umowy deweloperskiej lub innej umowy zawieranej z deweloperem]</w:t>
            </w:r>
          </w:p>
          <w:p w14:paraId="77F5FD34" w14:textId="77777777" w:rsidR="00962D9E" w:rsidRPr="00BD79C4" w:rsidRDefault="00962D9E" w:rsidP="00962D9E">
            <w:pPr>
              <w:shd w:val="clear" w:color="auto" w:fill="FFFFFF"/>
              <w:spacing w:after="0" w:line="336" w:lineRule="atLeast"/>
              <w:rPr>
                <w:rFonts w:eastAsia="Times New Roman" w:cstheme="minorHAnsi"/>
                <w:sz w:val="20"/>
                <w:szCs w:val="20"/>
              </w:rPr>
            </w:pPr>
            <w:r w:rsidRPr="00BD79C4">
              <w:rPr>
                <w:rFonts w:eastAsia="Times New Roman" w:cstheme="minorHAnsi"/>
                <w:sz w:val="20"/>
                <w:szCs w:val="20"/>
              </w:rPr>
              <w:t>1. </w:t>
            </w:r>
          </w:p>
          <w:p w14:paraId="32FFBAD6" w14:textId="77777777" w:rsidR="00962D9E" w:rsidRPr="00BD79C4" w:rsidRDefault="00962D9E" w:rsidP="00962D9E">
            <w:pPr>
              <w:shd w:val="clear" w:color="auto" w:fill="FFFFFF"/>
              <w:spacing w:after="0" w:line="240" w:lineRule="auto"/>
              <w:rPr>
                <w:rFonts w:eastAsia="Times New Roman" w:cstheme="minorHAnsi"/>
                <w:sz w:val="20"/>
                <w:szCs w:val="20"/>
              </w:rPr>
            </w:pPr>
            <w:r w:rsidRPr="00BD79C4">
              <w:rPr>
                <w:rFonts w:eastAsia="Times New Roman" w:cstheme="minorHAnsi"/>
                <w:sz w:val="20"/>
                <w:szCs w:val="20"/>
              </w:rPr>
              <w:t> Nabywca ma prawo odstąpić od umowy deweloperskiej albo umowy, o której mowa w art. 2 ust. 1 pkt 2, 3 lub 5:</w:t>
            </w:r>
          </w:p>
          <w:p w14:paraId="17AF82D4" w14:textId="77777777" w:rsidR="00962D9E" w:rsidRPr="00BD79C4" w:rsidRDefault="00962D9E" w:rsidP="00962D9E">
            <w:pPr>
              <w:shd w:val="clear" w:color="auto" w:fill="FFFFFF"/>
              <w:spacing w:after="0" w:line="336" w:lineRule="atLeast"/>
              <w:rPr>
                <w:rFonts w:eastAsia="Times New Roman" w:cstheme="minorHAnsi"/>
                <w:sz w:val="20"/>
                <w:szCs w:val="20"/>
              </w:rPr>
            </w:pPr>
            <w:r w:rsidRPr="00BD79C4">
              <w:rPr>
                <w:rFonts w:eastAsia="Times New Roman" w:cstheme="minorHAnsi"/>
                <w:sz w:val="20"/>
                <w:szCs w:val="20"/>
              </w:rPr>
              <w:t>1) </w:t>
            </w:r>
          </w:p>
          <w:p w14:paraId="433AC5C0" w14:textId="77777777" w:rsidR="00962D9E" w:rsidRPr="00BD79C4" w:rsidRDefault="00962D9E" w:rsidP="00962D9E">
            <w:pPr>
              <w:shd w:val="clear" w:color="auto" w:fill="FFFFFF"/>
              <w:spacing w:after="0" w:line="240" w:lineRule="auto"/>
              <w:rPr>
                <w:rFonts w:eastAsia="Times New Roman" w:cstheme="minorHAnsi"/>
                <w:sz w:val="20"/>
                <w:szCs w:val="20"/>
              </w:rPr>
            </w:pPr>
            <w:r w:rsidRPr="00BD79C4">
              <w:rPr>
                <w:rFonts w:eastAsia="Times New Roman" w:cstheme="minorHAnsi"/>
                <w:sz w:val="20"/>
                <w:szCs w:val="20"/>
              </w:rPr>
              <w:t>jeżeli </w:t>
            </w:r>
            <w:hyperlink r:id="rId8" w:tgtFrame="_blank" w:history="1">
              <w:r w:rsidRPr="00BD79C4">
                <w:rPr>
                  <w:rStyle w:val="Hipercze"/>
                  <w:rFonts w:eastAsia="Times New Roman" w:cstheme="minorHAnsi"/>
                  <w:color w:val="auto"/>
                  <w:sz w:val="20"/>
                  <w:szCs w:val="20"/>
                </w:rPr>
                <w:t>umowa deweloperska</w:t>
              </w:r>
            </w:hyperlink>
            <w:r w:rsidRPr="00BD79C4">
              <w:rPr>
                <w:rFonts w:eastAsia="Times New Roman" w:cstheme="minorHAnsi"/>
                <w:sz w:val="20"/>
                <w:szCs w:val="20"/>
              </w:rPr>
              <w:t> albo umowa, o której mowa w art. 2 ust. 1 pkt 2, 3 lub 5, nie zawiera odpowiednio elementów, o których mowa w art. 35, albo elementów, o których mowa w art. 36;</w:t>
            </w:r>
          </w:p>
          <w:p w14:paraId="40C11C35" w14:textId="77777777" w:rsidR="00962D9E" w:rsidRPr="00BD79C4" w:rsidRDefault="00962D9E" w:rsidP="00962D9E">
            <w:pPr>
              <w:shd w:val="clear" w:color="auto" w:fill="FFFFFF"/>
              <w:spacing w:after="0" w:line="336" w:lineRule="atLeast"/>
              <w:rPr>
                <w:rFonts w:eastAsia="Times New Roman" w:cstheme="minorHAnsi"/>
                <w:sz w:val="20"/>
                <w:szCs w:val="20"/>
              </w:rPr>
            </w:pPr>
            <w:r w:rsidRPr="00BD79C4">
              <w:rPr>
                <w:rFonts w:eastAsia="Times New Roman" w:cstheme="minorHAnsi"/>
                <w:sz w:val="20"/>
                <w:szCs w:val="20"/>
              </w:rPr>
              <w:t>2) </w:t>
            </w:r>
          </w:p>
          <w:p w14:paraId="4B6405B4" w14:textId="77777777" w:rsidR="00962D9E" w:rsidRPr="00BD79C4" w:rsidRDefault="00962D9E" w:rsidP="00962D9E">
            <w:pPr>
              <w:shd w:val="clear" w:color="auto" w:fill="FFFFFF"/>
              <w:spacing w:after="0" w:line="240" w:lineRule="auto"/>
              <w:rPr>
                <w:rFonts w:eastAsia="Times New Roman" w:cstheme="minorHAnsi"/>
                <w:sz w:val="20"/>
                <w:szCs w:val="20"/>
              </w:rPr>
            </w:pPr>
            <w:r w:rsidRPr="00BD79C4">
              <w:rPr>
                <w:rFonts w:eastAsia="Times New Roman" w:cstheme="minorHAnsi"/>
                <w:sz w:val="20"/>
                <w:szCs w:val="20"/>
              </w:rPr>
              <w:t>jeżeli informacje zawarte w umowie deweloperskiej albo umowie, o której mowa w art. 2 ust. 1 pkt 2, 3 lub 5, nie są zgodne z informacjami zawartymi w prospekcie informacyjnym lub jego załącznikach, z wyjątkiem zmian, o których mowa w art. 35 ust. 2;</w:t>
            </w:r>
          </w:p>
          <w:p w14:paraId="573BAC2C" w14:textId="77777777" w:rsidR="00962D9E" w:rsidRPr="00BD79C4" w:rsidRDefault="00962D9E" w:rsidP="00962D9E">
            <w:pPr>
              <w:shd w:val="clear" w:color="auto" w:fill="FFFFFF"/>
              <w:spacing w:after="0" w:line="336" w:lineRule="atLeast"/>
              <w:rPr>
                <w:rFonts w:eastAsia="Times New Roman" w:cstheme="minorHAnsi"/>
                <w:sz w:val="20"/>
                <w:szCs w:val="20"/>
              </w:rPr>
            </w:pPr>
            <w:r w:rsidRPr="00BD79C4">
              <w:rPr>
                <w:rFonts w:eastAsia="Times New Roman" w:cstheme="minorHAnsi"/>
                <w:sz w:val="20"/>
                <w:szCs w:val="20"/>
              </w:rPr>
              <w:t>3) </w:t>
            </w:r>
          </w:p>
          <w:p w14:paraId="2748EF66" w14:textId="77777777" w:rsidR="00962D9E" w:rsidRPr="00BD79C4" w:rsidRDefault="00962D9E" w:rsidP="00962D9E">
            <w:pPr>
              <w:shd w:val="clear" w:color="auto" w:fill="FFFFFF"/>
              <w:spacing w:after="0" w:line="240" w:lineRule="auto"/>
              <w:rPr>
                <w:rFonts w:eastAsia="Times New Roman" w:cstheme="minorHAnsi"/>
                <w:sz w:val="20"/>
                <w:szCs w:val="20"/>
              </w:rPr>
            </w:pPr>
            <w:r w:rsidRPr="00BD79C4">
              <w:rPr>
                <w:rFonts w:eastAsia="Times New Roman" w:cstheme="minorHAnsi"/>
                <w:sz w:val="20"/>
                <w:szCs w:val="20"/>
              </w:rPr>
              <w:t>jeżeli deweloper nie doręczył zgodnie z art. 21 lub art. 22 prospektu informacyjnego wraz z załącznikami lub informacji o zmianie danych lub informacji zawartych w prospekcie informacyjnym lub jego załącznikach;</w:t>
            </w:r>
          </w:p>
          <w:p w14:paraId="3414E69C" w14:textId="77777777" w:rsidR="00962D9E" w:rsidRPr="00BD79C4" w:rsidRDefault="00962D9E" w:rsidP="00962D9E">
            <w:pPr>
              <w:shd w:val="clear" w:color="auto" w:fill="FFFFFF"/>
              <w:spacing w:after="0" w:line="336" w:lineRule="atLeast"/>
              <w:rPr>
                <w:rFonts w:eastAsia="Times New Roman" w:cstheme="minorHAnsi"/>
                <w:sz w:val="20"/>
                <w:szCs w:val="20"/>
              </w:rPr>
            </w:pPr>
            <w:r w:rsidRPr="00BD79C4">
              <w:rPr>
                <w:rFonts w:eastAsia="Times New Roman" w:cstheme="minorHAnsi"/>
                <w:sz w:val="20"/>
                <w:szCs w:val="20"/>
              </w:rPr>
              <w:t>4) </w:t>
            </w:r>
          </w:p>
          <w:p w14:paraId="20DFBE3F" w14:textId="77777777" w:rsidR="00962D9E" w:rsidRPr="00BD79C4" w:rsidRDefault="00962D9E" w:rsidP="00962D9E">
            <w:pPr>
              <w:shd w:val="clear" w:color="auto" w:fill="FFFFFF"/>
              <w:spacing w:after="0" w:line="240" w:lineRule="auto"/>
              <w:rPr>
                <w:rFonts w:eastAsia="Times New Roman" w:cstheme="minorHAnsi"/>
                <w:sz w:val="20"/>
                <w:szCs w:val="20"/>
              </w:rPr>
            </w:pPr>
            <w:r w:rsidRPr="00BD79C4">
              <w:rPr>
                <w:rFonts w:eastAsia="Times New Roman" w:cstheme="minorHAnsi"/>
                <w:sz w:val="20"/>
                <w:szCs w:val="20"/>
              </w:rPr>
              <w:t>jeżeli dane lub informacje zawarte w prospekcie informacyjnym lub jego załącznikach, na podstawie których zawarto umowę deweloperską albo umowę, o której mowa w art. 2 ust. 1 pkt 2, 3 lub 5, są niezgodne ze stanem faktycznym lub prawnym w dniu zawarcia umowy;</w:t>
            </w:r>
          </w:p>
          <w:p w14:paraId="42924CFB" w14:textId="77777777" w:rsidR="00962D9E" w:rsidRPr="00BD79C4" w:rsidRDefault="00962D9E" w:rsidP="00962D9E">
            <w:pPr>
              <w:shd w:val="clear" w:color="auto" w:fill="FFFFFF"/>
              <w:spacing w:after="0" w:line="336" w:lineRule="atLeast"/>
              <w:rPr>
                <w:rFonts w:eastAsia="Times New Roman" w:cstheme="minorHAnsi"/>
                <w:sz w:val="20"/>
                <w:szCs w:val="20"/>
              </w:rPr>
            </w:pPr>
            <w:r w:rsidRPr="00BD79C4">
              <w:rPr>
                <w:rFonts w:eastAsia="Times New Roman" w:cstheme="minorHAnsi"/>
                <w:sz w:val="20"/>
                <w:szCs w:val="20"/>
              </w:rPr>
              <w:t>5) </w:t>
            </w:r>
          </w:p>
          <w:p w14:paraId="01A007B6" w14:textId="77777777" w:rsidR="00962D9E" w:rsidRPr="00BD79C4" w:rsidRDefault="00962D9E" w:rsidP="00962D9E">
            <w:pPr>
              <w:shd w:val="clear" w:color="auto" w:fill="FFFFFF"/>
              <w:spacing w:after="0" w:line="240" w:lineRule="auto"/>
              <w:rPr>
                <w:rFonts w:eastAsia="Times New Roman" w:cstheme="minorHAnsi"/>
                <w:sz w:val="20"/>
                <w:szCs w:val="20"/>
              </w:rPr>
            </w:pPr>
            <w:r w:rsidRPr="00BD79C4">
              <w:rPr>
                <w:rFonts w:eastAsia="Times New Roman" w:cstheme="minorHAnsi"/>
                <w:sz w:val="20"/>
                <w:szCs w:val="20"/>
              </w:rPr>
              <w:t>jeżeli prospekt informacyjny, na podstawie którego zawarto umowę deweloperską albo umowę, o której mowa w art. 2 ust. 1 pkt 2, 3 lub 5, nie zawiera danych lub informacji określonych we wzorze prospektu informacyjnego;</w:t>
            </w:r>
          </w:p>
          <w:p w14:paraId="73549260" w14:textId="77777777" w:rsidR="00962D9E" w:rsidRPr="00BD79C4" w:rsidRDefault="00962D9E" w:rsidP="00962D9E">
            <w:pPr>
              <w:shd w:val="clear" w:color="auto" w:fill="FFFFFF"/>
              <w:spacing w:after="0" w:line="336" w:lineRule="atLeast"/>
              <w:rPr>
                <w:rFonts w:eastAsia="Times New Roman" w:cstheme="minorHAnsi"/>
                <w:sz w:val="20"/>
                <w:szCs w:val="20"/>
              </w:rPr>
            </w:pPr>
            <w:r w:rsidRPr="00BD79C4">
              <w:rPr>
                <w:rFonts w:eastAsia="Times New Roman" w:cstheme="minorHAnsi"/>
                <w:sz w:val="20"/>
                <w:szCs w:val="20"/>
              </w:rPr>
              <w:t>6) </w:t>
            </w:r>
          </w:p>
          <w:p w14:paraId="0E807519" w14:textId="77777777" w:rsidR="00962D9E" w:rsidRPr="00BD79C4" w:rsidRDefault="00962D9E" w:rsidP="00962D9E">
            <w:pPr>
              <w:shd w:val="clear" w:color="auto" w:fill="FFFFFF"/>
              <w:spacing w:after="0" w:line="240" w:lineRule="auto"/>
              <w:rPr>
                <w:rFonts w:eastAsia="Times New Roman" w:cstheme="minorHAnsi"/>
                <w:sz w:val="20"/>
                <w:szCs w:val="20"/>
              </w:rPr>
            </w:pPr>
            <w:r w:rsidRPr="00BD79C4">
              <w:rPr>
                <w:rFonts w:eastAsia="Times New Roman" w:cstheme="minorHAnsi"/>
                <w:sz w:val="20"/>
                <w:szCs w:val="20"/>
              </w:rPr>
              <w:t xml:space="preserve">w przypadku </w:t>
            </w:r>
            <w:proofErr w:type="spellStart"/>
            <w:r w:rsidRPr="00BD79C4">
              <w:rPr>
                <w:rFonts w:eastAsia="Times New Roman" w:cstheme="minorHAnsi"/>
                <w:sz w:val="20"/>
                <w:szCs w:val="20"/>
              </w:rPr>
              <w:t>nieprzeniesienia</w:t>
            </w:r>
            <w:proofErr w:type="spellEnd"/>
            <w:r w:rsidRPr="00BD79C4">
              <w:rPr>
                <w:rFonts w:eastAsia="Times New Roman" w:cstheme="minorHAnsi"/>
                <w:sz w:val="20"/>
                <w:szCs w:val="20"/>
              </w:rPr>
              <w:t xml:space="preserve"> na nabywcę praw wynikających z umowy deweloperskiej albo umowy, o której mowa w art. 2 ust. 1 pkt 2, 3 lub 5, w terminie wynikającym z tych umów;</w:t>
            </w:r>
          </w:p>
          <w:p w14:paraId="711907A3" w14:textId="77777777" w:rsidR="00962D9E" w:rsidRPr="00BD79C4" w:rsidRDefault="00962D9E" w:rsidP="00962D9E">
            <w:pPr>
              <w:shd w:val="clear" w:color="auto" w:fill="FFFFFF"/>
              <w:spacing w:after="0" w:line="336" w:lineRule="atLeast"/>
              <w:rPr>
                <w:rFonts w:eastAsia="Times New Roman" w:cstheme="minorHAnsi"/>
                <w:sz w:val="20"/>
                <w:szCs w:val="20"/>
              </w:rPr>
            </w:pPr>
            <w:r w:rsidRPr="00BD79C4">
              <w:rPr>
                <w:rFonts w:eastAsia="Times New Roman" w:cstheme="minorHAnsi"/>
                <w:sz w:val="20"/>
                <w:szCs w:val="20"/>
              </w:rPr>
              <w:t>7) </w:t>
            </w:r>
          </w:p>
          <w:p w14:paraId="6846E3F6" w14:textId="77777777" w:rsidR="00962D9E" w:rsidRPr="00BD79C4" w:rsidRDefault="00962D9E" w:rsidP="00962D9E">
            <w:pPr>
              <w:shd w:val="clear" w:color="auto" w:fill="FFFFFF"/>
              <w:spacing w:after="0" w:line="240" w:lineRule="auto"/>
              <w:rPr>
                <w:rFonts w:eastAsia="Times New Roman" w:cstheme="minorHAnsi"/>
                <w:sz w:val="20"/>
                <w:szCs w:val="20"/>
              </w:rPr>
            </w:pPr>
            <w:r w:rsidRPr="00BD79C4">
              <w:rPr>
                <w:rFonts w:eastAsia="Times New Roman" w:cstheme="minorHAnsi"/>
                <w:sz w:val="20"/>
                <w:szCs w:val="20"/>
              </w:rPr>
              <w:t>w przypadku gdy deweloper nie zawrze umowy mieszkaniowego rachunku powierniczego z innym bankiem w trybie i terminie, o których mowa w art. 10 ust. 1;</w:t>
            </w:r>
          </w:p>
          <w:p w14:paraId="02A43601" w14:textId="77777777" w:rsidR="00962D9E" w:rsidRPr="00BD79C4" w:rsidRDefault="00962D9E" w:rsidP="00962D9E">
            <w:pPr>
              <w:shd w:val="clear" w:color="auto" w:fill="FFFFFF"/>
              <w:spacing w:after="0" w:line="336" w:lineRule="atLeast"/>
              <w:rPr>
                <w:rFonts w:eastAsia="Times New Roman" w:cstheme="minorHAnsi"/>
                <w:sz w:val="20"/>
                <w:szCs w:val="20"/>
              </w:rPr>
            </w:pPr>
            <w:r w:rsidRPr="00BD79C4">
              <w:rPr>
                <w:rFonts w:eastAsia="Times New Roman" w:cstheme="minorHAnsi"/>
                <w:sz w:val="20"/>
                <w:szCs w:val="20"/>
              </w:rPr>
              <w:t>8) </w:t>
            </w:r>
          </w:p>
          <w:p w14:paraId="70B86B79" w14:textId="77777777" w:rsidR="00962D9E" w:rsidRPr="00BD79C4" w:rsidRDefault="00962D9E" w:rsidP="00962D9E">
            <w:pPr>
              <w:shd w:val="clear" w:color="auto" w:fill="FFFFFF"/>
              <w:spacing w:after="0" w:line="240" w:lineRule="auto"/>
              <w:rPr>
                <w:rFonts w:eastAsia="Times New Roman" w:cstheme="minorHAnsi"/>
                <w:sz w:val="20"/>
                <w:szCs w:val="20"/>
              </w:rPr>
            </w:pPr>
            <w:r w:rsidRPr="00BD79C4">
              <w:rPr>
                <w:rFonts w:eastAsia="Times New Roman" w:cstheme="minorHAnsi"/>
                <w:sz w:val="20"/>
                <w:szCs w:val="20"/>
              </w:rPr>
              <w:t>w przypadku gdy deweloper nie posiada zgody wierzyciela hipotecznego lub zobowiązania do jej udzielenia, o których mowa w art. 25 ust. 1 pkt 1 lub 2;</w:t>
            </w:r>
          </w:p>
          <w:p w14:paraId="6DFFFA1E" w14:textId="77777777" w:rsidR="00962D9E" w:rsidRPr="00BD79C4" w:rsidRDefault="00962D9E" w:rsidP="00962D9E">
            <w:pPr>
              <w:shd w:val="clear" w:color="auto" w:fill="FFFFFF"/>
              <w:spacing w:after="0" w:line="336" w:lineRule="atLeast"/>
              <w:rPr>
                <w:rFonts w:eastAsia="Times New Roman" w:cstheme="minorHAnsi"/>
                <w:sz w:val="20"/>
                <w:szCs w:val="20"/>
              </w:rPr>
            </w:pPr>
            <w:r w:rsidRPr="00BD79C4">
              <w:rPr>
                <w:rFonts w:eastAsia="Times New Roman" w:cstheme="minorHAnsi"/>
                <w:sz w:val="20"/>
                <w:szCs w:val="20"/>
              </w:rPr>
              <w:t>9) </w:t>
            </w:r>
          </w:p>
          <w:p w14:paraId="102B36BB" w14:textId="77777777" w:rsidR="00962D9E" w:rsidRPr="00BD79C4" w:rsidRDefault="00962D9E" w:rsidP="00962D9E">
            <w:pPr>
              <w:shd w:val="clear" w:color="auto" w:fill="FFFFFF"/>
              <w:spacing w:after="0" w:line="240" w:lineRule="auto"/>
              <w:rPr>
                <w:rFonts w:eastAsia="Times New Roman" w:cstheme="minorHAnsi"/>
                <w:sz w:val="20"/>
                <w:szCs w:val="20"/>
              </w:rPr>
            </w:pPr>
            <w:r w:rsidRPr="00BD79C4">
              <w:rPr>
                <w:rFonts w:eastAsia="Times New Roman" w:cstheme="minorHAnsi"/>
                <w:sz w:val="20"/>
                <w:szCs w:val="20"/>
              </w:rPr>
              <w:t>w przypadku niewykonania przez dewelopera obowiązku, o którym mowa w art. 12 ust. 2, w terminie określonym w tym przepisie;</w:t>
            </w:r>
          </w:p>
          <w:p w14:paraId="64DF51B6" w14:textId="77777777" w:rsidR="00962D9E" w:rsidRPr="00BD79C4" w:rsidRDefault="00962D9E" w:rsidP="00962D9E">
            <w:pPr>
              <w:shd w:val="clear" w:color="auto" w:fill="FFFFFF"/>
              <w:spacing w:after="0" w:line="336" w:lineRule="atLeast"/>
              <w:rPr>
                <w:rFonts w:eastAsia="Times New Roman" w:cstheme="minorHAnsi"/>
                <w:sz w:val="20"/>
                <w:szCs w:val="20"/>
              </w:rPr>
            </w:pPr>
            <w:r w:rsidRPr="00BD79C4">
              <w:rPr>
                <w:rFonts w:eastAsia="Times New Roman" w:cstheme="minorHAnsi"/>
                <w:sz w:val="20"/>
                <w:szCs w:val="20"/>
              </w:rPr>
              <w:t>10) </w:t>
            </w:r>
          </w:p>
          <w:p w14:paraId="664EB2A5" w14:textId="77777777" w:rsidR="00962D9E" w:rsidRPr="00BD79C4" w:rsidRDefault="00962D9E" w:rsidP="00962D9E">
            <w:pPr>
              <w:shd w:val="clear" w:color="auto" w:fill="FFFFFF"/>
              <w:spacing w:after="0" w:line="240" w:lineRule="auto"/>
              <w:rPr>
                <w:rFonts w:eastAsia="Times New Roman" w:cstheme="minorHAnsi"/>
                <w:sz w:val="20"/>
                <w:szCs w:val="20"/>
              </w:rPr>
            </w:pPr>
            <w:r w:rsidRPr="00BD79C4">
              <w:rPr>
                <w:rFonts w:eastAsia="Times New Roman" w:cstheme="minorHAnsi"/>
                <w:sz w:val="20"/>
                <w:szCs w:val="20"/>
              </w:rPr>
              <w:t>w przypadku nieusunięcia przez dewelopera wady istotnej lokalu mieszkalnego albo domu jednorodzinnego na zasadach określonych w art. 41 ust. 11;</w:t>
            </w:r>
          </w:p>
          <w:p w14:paraId="7428439F" w14:textId="77777777" w:rsidR="00962D9E" w:rsidRPr="00BD79C4" w:rsidRDefault="00962D9E" w:rsidP="00962D9E">
            <w:pPr>
              <w:shd w:val="clear" w:color="auto" w:fill="FFFFFF"/>
              <w:spacing w:after="0" w:line="336" w:lineRule="atLeast"/>
              <w:rPr>
                <w:rFonts w:eastAsia="Times New Roman" w:cstheme="minorHAnsi"/>
                <w:sz w:val="20"/>
                <w:szCs w:val="20"/>
              </w:rPr>
            </w:pPr>
            <w:r w:rsidRPr="00BD79C4">
              <w:rPr>
                <w:rFonts w:eastAsia="Times New Roman" w:cstheme="minorHAnsi"/>
                <w:sz w:val="20"/>
                <w:szCs w:val="20"/>
              </w:rPr>
              <w:t>11) </w:t>
            </w:r>
          </w:p>
          <w:p w14:paraId="47B7293E" w14:textId="77777777" w:rsidR="00962D9E" w:rsidRPr="00BD79C4" w:rsidRDefault="00962D9E" w:rsidP="00962D9E">
            <w:pPr>
              <w:shd w:val="clear" w:color="auto" w:fill="FFFFFF"/>
              <w:spacing w:after="0" w:line="240" w:lineRule="auto"/>
              <w:rPr>
                <w:rFonts w:eastAsia="Times New Roman" w:cstheme="minorHAnsi"/>
                <w:sz w:val="20"/>
                <w:szCs w:val="20"/>
              </w:rPr>
            </w:pPr>
            <w:r w:rsidRPr="00BD79C4">
              <w:rPr>
                <w:rFonts w:eastAsia="Times New Roman" w:cstheme="minorHAnsi"/>
                <w:sz w:val="20"/>
                <w:szCs w:val="20"/>
              </w:rPr>
              <w:t>w przypadku stwierdzenia przez rzeczoznawcę istnienia wady istotnej, o którym mowa w art. 41 ust. 15;</w:t>
            </w:r>
          </w:p>
          <w:p w14:paraId="58B5FA60" w14:textId="77777777" w:rsidR="00962D9E" w:rsidRPr="00BD79C4" w:rsidRDefault="00962D9E" w:rsidP="00962D9E">
            <w:pPr>
              <w:shd w:val="clear" w:color="auto" w:fill="FFFFFF"/>
              <w:spacing w:after="0" w:line="336" w:lineRule="atLeast"/>
              <w:rPr>
                <w:rFonts w:eastAsia="Times New Roman" w:cstheme="minorHAnsi"/>
                <w:sz w:val="20"/>
                <w:szCs w:val="20"/>
              </w:rPr>
            </w:pPr>
            <w:r w:rsidRPr="00BD79C4">
              <w:rPr>
                <w:rFonts w:eastAsia="Times New Roman" w:cstheme="minorHAnsi"/>
                <w:sz w:val="20"/>
                <w:szCs w:val="20"/>
              </w:rPr>
              <w:t>12) </w:t>
            </w:r>
          </w:p>
          <w:p w14:paraId="58532052" w14:textId="77777777" w:rsidR="00962D9E" w:rsidRPr="00BD79C4" w:rsidRDefault="00962D9E" w:rsidP="00962D9E">
            <w:pPr>
              <w:shd w:val="clear" w:color="auto" w:fill="FFFFFF"/>
              <w:spacing w:after="0" w:line="240" w:lineRule="auto"/>
              <w:rPr>
                <w:rFonts w:eastAsia="Times New Roman" w:cstheme="minorHAnsi"/>
                <w:sz w:val="20"/>
                <w:szCs w:val="20"/>
              </w:rPr>
            </w:pPr>
            <w:r w:rsidRPr="00BD79C4">
              <w:rPr>
                <w:rFonts w:eastAsia="Times New Roman" w:cstheme="minorHAnsi"/>
                <w:sz w:val="20"/>
                <w:szCs w:val="20"/>
              </w:rPr>
              <w:t>jeżeli syndyk zażądał wykonania umowy na podstawie </w:t>
            </w:r>
            <w:hyperlink r:id="rId9" w:history="1">
              <w:r w:rsidRPr="00BD79C4">
                <w:rPr>
                  <w:rStyle w:val="Hipercze"/>
                  <w:rFonts w:eastAsia="Times New Roman" w:cstheme="minorHAnsi"/>
                  <w:color w:val="auto"/>
                  <w:sz w:val="20"/>
                  <w:szCs w:val="20"/>
                </w:rPr>
                <w:t>art. 98</w:t>
              </w:r>
            </w:hyperlink>
            <w:r w:rsidRPr="00BD79C4">
              <w:rPr>
                <w:rFonts w:eastAsia="Times New Roman" w:cstheme="minorHAnsi"/>
                <w:sz w:val="20"/>
                <w:szCs w:val="20"/>
              </w:rPr>
              <w:t> ustawy z dnia 28 lutego 2003 r. - Prawo upadłościowe.</w:t>
            </w:r>
          </w:p>
          <w:p w14:paraId="080BD5C4" w14:textId="77777777" w:rsidR="00962D9E" w:rsidRPr="00BD79C4" w:rsidRDefault="00962D9E" w:rsidP="00962D9E">
            <w:pPr>
              <w:shd w:val="clear" w:color="auto" w:fill="FFFFFF"/>
              <w:spacing w:after="0" w:line="336" w:lineRule="atLeast"/>
              <w:rPr>
                <w:rFonts w:eastAsia="Times New Roman" w:cstheme="minorHAnsi"/>
                <w:sz w:val="20"/>
                <w:szCs w:val="20"/>
              </w:rPr>
            </w:pPr>
            <w:r w:rsidRPr="00BD79C4">
              <w:rPr>
                <w:rFonts w:eastAsia="Times New Roman" w:cstheme="minorHAnsi"/>
                <w:sz w:val="20"/>
                <w:szCs w:val="20"/>
              </w:rPr>
              <w:t>2. </w:t>
            </w:r>
          </w:p>
          <w:p w14:paraId="491469DD" w14:textId="77777777" w:rsidR="00962D9E" w:rsidRPr="00BD79C4" w:rsidRDefault="00962D9E" w:rsidP="00962D9E">
            <w:pPr>
              <w:shd w:val="clear" w:color="auto" w:fill="FFFFFF"/>
              <w:spacing w:after="0" w:line="240" w:lineRule="auto"/>
              <w:rPr>
                <w:rFonts w:eastAsia="Times New Roman" w:cstheme="minorHAnsi"/>
                <w:sz w:val="20"/>
                <w:szCs w:val="20"/>
              </w:rPr>
            </w:pPr>
            <w:r w:rsidRPr="00BD79C4">
              <w:rPr>
                <w:rFonts w:eastAsia="Times New Roman" w:cstheme="minorHAnsi"/>
                <w:sz w:val="20"/>
                <w:szCs w:val="20"/>
              </w:rPr>
              <w:t> W przypadkach, o których mowa w ust. 1 pkt 1-5, nabywca ma prawo odstąpienia od umowy deweloperskiej albo umowy, o której mowa w art. 2 ust. 1 pkt 2, 3 lub 5, w terminie 30 dni od dnia jej zawarcia.</w:t>
            </w:r>
          </w:p>
          <w:p w14:paraId="2F2E1CD3" w14:textId="77777777" w:rsidR="00962D9E" w:rsidRPr="00BD79C4" w:rsidRDefault="00962D9E" w:rsidP="00962D9E">
            <w:pPr>
              <w:shd w:val="clear" w:color="auto" w:fill="FFFFFF"/>
              <w:spacing w:after="0" w:line="336" w:lineRule="atLeast"/>
              <w:rPr>
                <w:rFonts w:eastAsia="Times New Roman" w:cstheme="minorHAnsi"/>
                <w:sz w:val="20"/>
                <w:szCs w:val="20"/>
              </w:rPr>
            </w:pPr>
            <w:r w:rsidRPr="00BD79C4">
              <w:rPr>
                <w:rFonts w:eastAsia="Times New Roman" w:cstheme="minorHAnsi"/>
                <w:sz w:val="20"/>
                <w:szCs w:val="20"/>
              </w:rPr>
              <w:lastRenderedPageBreak/>
              <w:t>3. </w:t>
            </w:r>
          </w:p>
          <w:p w14:paraId="1714A6D1" w14:textId="77777777" w:rsidR="00962D9E" w:rsidRPr="00BD79C4" w:rsidRDefault="00962D9E" w:rsidP="00962D9E">
            <w:pPr>
              <w:shd w:val="clear" w:color="auto" w:fill="FFFFFF"/>
              <w:spacing w:after="0" w:line="240" w:lineRule="auto"/>
              <w:rPr>
                <w:rFonts w:eastAsia="Times New Roman" w:cstheme="minorHAnsi"/>
                <w:sz w:val="20"/>
                <w:szCs w:val="20"/>
              </w:rPr>
            </w:pPr>
            <w:r w:rsidRPr="00BD79C4">
              <w:rPr>
                <w:rFonts w:eastAsia="Times New Roman" w:cstheme="minorHAnsi"/>
                <w:sz w:val="20"/>
                <w:szCs w:val="20"/>
              </w:rPr>
              <w:t> W przypadku, o którym mowa w ust. 1 pkt 6, przed skorzystaniem z prawa do odstąpienia od umowy nabywca wyznacza deweloperowi 120-dniowy termin na przeniesienie praw wynikających z umowy deweloperskiej albo umowy, o której mowa w art. 2 ust. 1 pkt 2, 3 lub 5, a w razie bezskutecznego upływu wyznaczonego terminu jest uprawniony do odstąpienia od tej umowy. Nabywca zachowuje roszczenie z tytułu kary umownej za okres opóźnienia.</w:t>
            </w:r>
          </w:p>
          <w:p w14:paraId="0E506371" w14:textId="77777777" w:rsidR="00962D9E" w:rsidRPr="00BD79C4" w:rsidRDefault="00962D9E" w:rsidP="00962D9E">
            <w:pPr>
              <w:shd w:val="clear" w:color="auto" w:fill="FFFFFF"/>
              <w:spacing w:after="0" w:line="336" w:lineRule="atLeast"/>
              <w:rPr>
                <w:rFonts w:eastAsia="Times New Roman" w:cstheme="minorHAnsi"/>
                <w:sz w:val="20"/>
                <w:szCs w:val="20"/>
              </w:rPr>
            </w:pPr>
            <w:r w:rsidRPr="00BD79C4">
              <w:rPr>
                <w:rFonts w:eastAsia="Times New Roman" w:cstheme="minorHAnsi"/>
                <w:sz w:val="20"/>
                <w:szCs w:val="20"/>
              </w:rPr>
              <w:t>4. </w:t>
            </w:r>
          </w:p>
          <w:p w14:paraId="3D038C6A" w14:textId="77777777" w:rsidR="00962D9E" w:rsidRPr="00BD79C4" w:rsidRDefault="00962D9E" w:rsidP="00962D9E">
            <w:pPr>
              <w:shd w:val="clear" w:color="auto" w:fill="FFFFFF"/>
              <w:spacing w:after="0" w:line="240" w:lineRule="auto"/>
              <w:rPr>
                <w:rFonts w:eastAsia="Times New Roman" w:cstheme="minorHAnsi"/>
                <w:sz w:val="20"/>
                <w:szCs w:val="20"/>
              </w:rPr>
            </w:pPr>
            <w:r w:rsidRPr="00BD79C4">
              <w:rPr>
                <w:rFonts w:eastAsia="Times New Roman" w:cstheme="minorHAnsi"/>
                <w:sz w:val="20"/>
                <w:szCs w:val="20"/>
              </w:rPr>
              <w:t> W przypadku, o którym mowa w ust. 1 pkt 7, nabywca ma prawo odstąpienia od umowy deweloperskiej albo umowy, o której mowa w art. 2 ust. 1 pkt 2, 3 lub 5, po dokonaniu przez bank zwrotu środków zgodnie z art. 10 ust. 3.</w:t>
            </w:r>
          </w:p>
          <w:p w14:paraId="4C2E9859" w14:textId="77777777" w:rsidR="00962D9E" w:rsidRPr="00BD79C4" w:rsidRDefault="00962D9E" w:rsidP="00962D9E">
            <w:pPr>
              <w:shd w:val="clear" w:color="auto" w:fill="FFFFFF"/>
              <w:spacing w:after="0" w:line="336" w:lineRule="atLeast"/>
              <w:rPr>
                <w:rFonts w:eastAsia="Times New Roman" w:cstheme="minorHAnsi"/>
                <w:sz w:val="20"/>
                <w:szCs w:val="20"/>
              </w:rPr>
            </w:pPr>
            <w:r w:rsidRPr="00BD79C4">
              <w:rPr>
                <w:rFonts w:eastAsia="Times New Roman" w:cstheme="minorHAnsi"/>
                <w:sz w:val="20"/>
                <w:szCs w:val="20"/>
              </w:rPr>
              <w:t>5. </w:t>
            </w:r>
          </w:p>
          <w:p w14:paraId="32976001" w14:textId="77777777" w:rsidR="00962D9E" w:rsidRPr="00BD79C4" w:rsidRDefault="00962D9E" w:rsidP="00962D9E">
            <w:pPr>
              <w:shd w:val="clear" w:color="auto" w:fill="FFFFFF"/>
              <w:spacing w:after="0" w:line="240" w:lineRule="auto"/>
              <w:rPr>
                <w:rFonts w:eastAsia="Times New Roman" w:cstheme="minorHAnsi"/>
                <w:sz w:val="20"/>
                <w:szCs w:val="20"/>
              </w:rPr>
            </w:pPr>
            <w:r w:rsidRPr="00BD79C4">
              <w:rPr>
                <w:rFonts w:eastAsia="Times New Roman" w:cstheme="minorHAnsi"/>
                <w:sz w:val="20"/>
                <w:szCs w:val="20"/>
              </w:rPr>
              <w:t> W przypadku, o którym mowa w ust. 1 pkt 8, nabywca ma prawo odstąpienia od umowy deweloperskiej albo umowy, o której mowa w art. 2 ust. 1 pkt 2, 3 lub 5, w terminie 60 dni od dnia jej zawarcia.</w:t>
            </w:r>
          </w:p>
          <w:p w14:paraId="744ADFC0" w14:textId="77777777" w:rsidR="00962D9E" w:rsidRPr="00BD79C4" w:rsidRDefault="00962D9E" w:rsidP="00962D9E">
            <w:pPr>
              <w:shd w:val="clear" w:color="auto" w:fill="FFFFFF"/>
              <w:spacing w:after="0" w:line="336" w:lineRule="atLeast"/>
              <w:rPr>
                <w:rFonts w:eastAsia="Times New Roman" w:cstheme="minorHAnsi"/>
                <w:sz w:val="20"/>
                <w:szCs w:val="20"/>
              </w:rPr>
            </w:pPr>
            <w:r w:rsidRPr="00BD79C4">
              <w:rPr>
                <w:rFonts w:eastAsia="Times New Roman" w:cstheme="minorHAnsi"/>
                <w:sz w:val="20"/>
                <w:szCs w:val="20"/>
              </w:rPr>
              <w:t>6. </w:t>
            </w:r>
          </w:p>
          <w:p w14:paraId="7776BD56" w14:textId="77777777" w:rsidR="00962D9E" w:rsidRPr="00BD79C4" w:rsidRDefault="00962D9E" w:rsidP="00962D9E">
            <w:pPr>
              <w:shd w:val="clear" w:color="auto" w:fill="FFFFFF"/>
              <w:spacing w:after="0" w:line="240" w:lineRule="auto"/>
              <w:rPr>
                <w:rFonts w:eastAsia="Times New Roman" w:cstheme="minorHAnsi"/>
                <w:sz w:val="20"/>
                <w:szCs w:val="20"/>
              </w:rPr>
            </w:pPr>
            <w:r w:rsidRPr="00BD79C4">
              <w:rPr>
                <w:rFonts w:eastAsia="Times New Roman" w:cstheme="minorHAnsi"/>
                <w:sz w:val="20"/>
                <w:szCs w:val="20"/>
              </w:rPr>
              <w:t> W przypadku, o którym mowa w ust. 1 pkt 9, nabywca ma prawo odstąpienia od umowy deweloperskiej albo umowy, o której mowa w art. 2 ust. 1 pkt 2, 3 lub 5, po upływie 60 dni od dnia podania do publicznej wiadomości informacji, o których mowa w art. 12 ust. 1.</w:t>
            </w:r>
          </w:p>
          <w:p w14:paraId="214A7E5C" w14:textId="77777777" w:rsidR="00962D9E" w:rsidRPr="00BD79C4" w:rsidRDefault="00962D9E" w:rsidP="00962D9E">
            <w:pPr>
              <w:shd w:val="clear" w:color="auto" w:fill="FFFFFF"/>
              <w:spacing w:after="0" w:line="336" w:lineRule="atLeast"/>
              <w:rPr>
                <w:rFonts w:eastAsia="Times New Roman" w:cstheme="minorHAnsi"/>
                <w:sz w:val="20"/>
                <w:szCs w:val="20"/>
              </w:rPr>
            </w:pPr>
            <w:r w:rsidRPr="00BD79C4">
              <w:rPr>
                <w:rFonts w:eastAsia="Times New Roman" w:cstheme="minorHAnsi"/>
                <w:sz w:val="20"/>
                <w:szCs w:val="20"/>
              </w:rPr>
              <w:t>7. </w:t>
            </w:r>
          </w:p>
          <w:p w14:paraId="41DE5B79" w14:textId="77777777" w:rsidR="00962D9E" w:rsidRPr="00BD79C4" w:rsidRDefault="00962D9E" w:rsidP="00962D9E">
            <w:pPr>
              <w:shd w:val="clear" w:color="auto" w:fill="FFFFFF"/>
              <w:spacing w:after="0" w:line="240" w:lineRule="auto"/>
              <w:rPr>
                <w:rFonts w:eastAsia="Times New Roman" w:cstheme="minorHAnsi"/>
                <w:sz w:val="20"/>
                <w:szCs w:val="20"/>
              </w:rPr>
            </w:pPr>
            <w:r w:rsidRPr="00BD79C4">
              <w:rPr>
                <w:rFonts w:eastAsia="Times New Roman" w:cstheme="minorHAnsi"/>
                <w:sz w:val="20"/>
                <w:szCs w:val="20"/>
              </w:rPr>
              <w:t> Deweloper ma prawo odstąpić od umowy deweloperskiej albo umowy, o której mowa w art. 2 ust. 1 pkt 2, 3 lub 5, w przypadku niespełnienia przez nabywcę świadczenia pieniężnego w terminie lub wysokości określonych w umowie, mimo wezwania nabywcy w formie pisemnej do uiszczenia zaległych kwot w terminie 30 dni od dnia doręczenia wezwania, chyba że niespełnienie przez nabywcę świadczenia pieniężnego jest spowodowane działaniem siły wyższej.</w:t>
            </w:r>
          </w:p>
          <w:p w14:paraId="0A6818D0" w14:textId="77777777" w:rsidR="00962D9E" w:rsidRPr="00BD79C4" w:rsidRDefault="00962D9E" w:rsidP="00962D9E">
            <w:pPr>
              <w:shd w:val="clear" w:color="auto" w:fill="FFFFFF"/>
              <w:spacing w:after="0" w:line="336" w:lineRule="atLeast"/>
              <w:rPr>
                <w:rFonts w:eastAsia="Times New Roman" w:cstheme="minorHAnsi"/>
                <w:sz w:val="20"/>
                <w:szCs w:val="20"/>
              </w:rPr>
            </w:pPr>
            <w:r w:rsidRPr="00BD79C4">
              <w:rPr>
                <w:rFonts w:eastAsia="Times New Roman" w:cstheme="minorHAnsi"/>
                <w:sz w:val="20"/>
                <w:szCs w:val="20"/>
              </w:rPr>
              <w:t>8. </w:t>
            </w:r>
          </w:p>
          <w:p w14:paraId="568C8D99" w14:textId="77777777" w:rsidR="00962D9E" w:rsidRPr="00BD79C4" w:rsidRDefault="00962D9E" w:rsidP="00962D9E">
            <w:pPr>
              <w:shd w:val="clear" w:color="auto" w:fill="FFFFFF"/>
              <w:spacing w:after="0" w:line="240" w:lineRule="auto"/>
              <w:rPr>
                <w:rFonts w:eastAsia="Times New Roman" w:cstheme="minorHAnsi"/>
                <w:sz w:val="20"/>
                <w:szCs w:val="20"/>
              </w:rPr>
            </w:pPr>
            <w:r w:rsidRPr="00BD79C4">
              <w:rPr>
                <w:rFonts w:eastAsia="Times New Roman" w:cstheme="minorHAnsi"/>
                <w:sz w:val="20"/>
                <w:szCs w:val="20"/>
              </w:rPr>
              <w:t> Deweloper ma prawo odstąpić od umowy deweloperskiej albo umowy, o której mowa w art. 2 ust. 1 pkt 2, 3 lub 5, w przypadku niestawienia się nabywcy do odbioru lokalu mieszkalnego albo domu jednorodzinnego lub podpisania aktu notarialnego przenoszącego na nabywcę prawa wynikające z umowy deweloperskiej albo umowy, o której mowa w art. 2 ust. 1 pkt 2, 3 lub 5, mimo dwukrotnego doręczenia wezwania w formie pisemnej w odstępie co najmniej 60 dni, chyba że niestawienie się nabywcy jest spowodowane działaniem siły wyższej.</w:t>
            </w:r>
          </w:p>
          <w:p w14:paraId="6920FC99" w14:textId="77777777" w:rsidR="00962D9E" w:rsidRPr="00BD79C4" w:rsidRDefault="00962D9E" w:rsidP="00962D9E">
            <w:pPr>
              <w:pStyle w:val="Akapitzlist"/>
              <w:spacing w:before="30" w:after="0" w:line="240" w:lineRule="auto"/>
              <w:ind w:left="0"/>
              <w:jc w:val="both"/>
              <w:rPr>
                <w:rFonts w:eastAsia="Times New Roman"/>
                <w:sz w:val="20"/>
                <w:szCs w:val="20"/>
              </w:rPr>
            </w:pPr>
            <w:r w:rsidRPr="00BD79C4">
              <w:rPr>
                <w:rFonts w:eastAsia="Times New Roman"/>
                <w:sz w:val="20"/>
                <w:szCs w:val="20"/>
              </w:rPr>
              <w:t xml:space="preserve"> Nabywca ma prawo odstąpić od umowy deweloperskiej:</w:t>
            </w:r>
            <w:r w:rsidRPr="00BD79C4">
              <w:rPr>
                <w:rFonts w:eastAsia="Times New Roman"/>
                <w:sz w:val="20"/>
                <w:szCs w:val="20"/>
              </w:rPr>
              <w:br/>
            </w:r>
            <w:r w:rsidRPr="00BD79C4">
              <w:rPr>
                <w:rFonts w:eastAsia="Times New Roman"/>
                <w:sz w:val="20"/>
                <w:szCs w:val="20"/>
              </w:rPr>
              <w:br/>
              <w:t>1)  jeżeli umowa deweloperska nie zawiera elementów, o których mowa w art. 22 ustawy o ochronie praw nabywcy lokalu mieszkalnego lub domu jednorodzinnego;</w:t>
            </w:r>
            <w:r w:rsidRPr="00BD79C4">
              <w:rPr>
                <w:rFonts w:eastAsia="Times New Roman"/>
                <w:sz w:val="20"/>
                <w:szCs w:val="20"/>
              </w:rPr>
              <w:br/>
              <w:t>2)  jeżeli informacje zawarte w umowie deweloperskiej nie są zgodne z informacjami zawartymi w prospekcie informacyjnym lub w załącznikach, za wyjątkiem zmian, które nastąpiły w treści prospektu informacyjnego lub załączniku w czasie pomiędzy doręczeniem prospektu informacyjnego wraz z załącznikami, a podpisaniem umowy deweloperskiej;</w:t>
            </w:r>
            <w:r w:rsidRPr="00BD79C4">
              <w:rPr>
                <w:rFonts w:eastAsia="Times New Roman"/>
                <w:sz w:val="20"/>
                <w:szCs w:val="20"/>
              </w:rPr>
              <w:br/>
              <w:t>3)  jeżeli deweloper nie doręczył zgodnie z art. 18 i art. 19 ustawy o ochronie praw nabywcy lokalu mieszkalnego lub domu jednorodzinnego prospektu informacyjnego wraz z załącznikami;</w:t>
            </w:r>
            <w:r w:rsidRPr="00BD79C4">
              <w:rPr>
                <w:rFonts w:eastAsia="Times New Roman"/>
                <w:sz w:val="20"/>
                <w:szCs w:val="20"/>
              </w:rPr>
              <w:br/>
              <w:t>4)  jeżeli informacje zawarte w prospekcie informacyjnym lub w załącznikach, na podstawie których zawarto umowę deweloperską, są niezgodne ze stanem faktycznym i prawnym w dniu podpisania umowy deweloperskiej;</w:t>
            </w:r>
            <w:r w:rsidRPr="00BD79C4">
              <w:rPr>
                <w:rFonts w:eastAsia="Times New Roman"/>
                <w:sz w:val="20"/>
                <w:szCs w:val="20"/>
              </w:rPr>
              <w:br/>
              <w:t>5)  jeżeli prospekt informacyjny, na podstawie którego zawarto umowę deweloperską, nie zawiera informacji określonych we wzorze prospektu informacyjnego stanowiącego załącznik do ustawy o ochronie praw nabywcy lokalu mieszkalnego lub domu jednorodzinnego;</w:t>
            </w:r>
            <w:r w:rsidRPr="00BD79C4">
              <w:rPr>
                <w:rFonts w:eastAsia="Times New Roman"/>
                <w:sz w:val="20"/>
                <w:szCs w:val="20"/>
              </w:rPr>
              <w:br/>
              <w:t xml:space="preserve">6)  w przypadku nie przeniesienia w terminie określonym w umowie deweloperskiej na nabywcę prawa, o którym mowa w art. 1 ustawy o ochronie </w:t>
            </w:r>
            <w:r w:rsidRPr="00BD79C4">
              <w:rPr>
                <w:rFonts w:eastAsia="Times New Roman"/>
                <w:sz w:val="20"/>
                <w:szCs w:val="20"/>
              </w:rPr>
              <w:lastRenderedPageBreak/>
              <w:t>praw nabywcy lokalu mieszkalnego lub domu jednorodzinnego, tj. ustanowienia odrębnej własności lokalu mieszkalnego i przeniesienia własności tego lokalu na nabywcę;</w:t>
            </w:r>
            <w:r w:rsidRPr="00BD79C4">
              <w:rPr>
                <w:rFonts w:eastAsia="Times New Roman"/>
                <w:sz w:val="20"/>
                <w:szCs w:val="20"/>
              </w:rPr>
              <w:br/>
            </w:r>
            <w:r w:rsidRPr="00BD79C4">
              <w:rPr>
                <w:rFonts w:eastAsia="Times New Roman"/>
                <w:sz w:val="20"/>
                <w:szCs w:val="20"/>
              </w:rPr>
              <w:br/>
              <w:t>W przypadkach, o których mowa w pkt 1-5 powyżej, nabywca ma prawo odstąpienia od umowy deweloperskiej w terminie 30 dni od dnia jej zawarcia.</w:t>
            </w:r>
            <w:r w:rsidRPr="00BD79C4">
              <w:rPr>
                <w:rFonts w:eastAsia="Times New Roman"/>
                <w:sz w:val="20"/>
                <w:szCs w:val="20"/>
              </w:rPr>
              <w:br/>
            </w:r>
            <w:r w:rsidRPr="00BD79C4">
              <w:rPr>
                <w:rFonts w:eastAsia="Times New Roman"/>
                <w:sz w:val="20"/>
                <w:szCs w:val="20"/>
              </w:rPr>
              <w:br/>
              <w:t xml:space="preserve"> W przypadku, o którym mowa w pkt 6 powyżej, przed skorzystaniem z prawa do odstąpienia od umowy deweloperskiej nabywca wyznacza deweloperowi 120-dniowy termin na przeniesienie prawa, o którym mowa w art. 1 ustawy o ochronie praw nabywcy lokalu mieszkalnego lub domu jednorodzinnego, tj. ustanowienia odrębnej własności lokalu mieszkalnego i przeniesienia własności tego lokalu na nabywcę, a w razie bezskutecznego upływu wyznaczonego terminu będzie uprawniony do odstąpienia od tej umowy. </w:t>
            </w:r>
            <w:r w:rsidRPr="00BD79C4">
              <w:rPr>
                <w:rFonts w:eastAsia="Times New Roman"/>
                <w:sz w:val="20"/>
                <w:szCs w:val="20"/>
              </w:rPr>
              <w:br/>
            </w:r>
            <w:r w:rsidRPr="00BD79C4">
              <w:rPr>
                <w:rFonts w:eastAsia="Times New Roman"/>
                <w:sz w:val="20"/>
                <w:szCs w:val="20"/>
              </w:rPr>
              <w:br/>
              <w:t>Oświadczenie woli nabywcy o odstąpieniu od umowy deweloperskiej jest skuteczne, jeżeli zawiera zgodę na wykreślenie roszczenia o przeniesienie własności nieruchomości złożone w formie pisemnej z podpisami notarialnie poświadczonymi, w przypadku gdy został złożony wniosek o wpis takiego roszczenia do księgi wieczystej.</w:t>
            </w:r>
          </w:p>
          <w:p w14:paraId="31876781" w14:textId="77777777" w:rsidR="00962D9E" w:rsidRPr="00BD79C4" w:rsidRDefault="00962D9E" w:rsidP="00962D9E">
            <w:pPr>
              <w:pStyle w:val="Akapitzlist"/>
              <w:spacing w:before="30" w:after="0" w:line="240" w:lineRule="auto"/>
              <w:ind w:left="0"/>
              <w:jc w:val="both"/>
              <w:rPr>
                <w:rFonts w:cs="Arial"/>
                <w:sz w:val="20"/>
                <w:szCs w:val="20"/>
              </w:rPr>
            </w:pPr>
            <w:r w:rsidRPr="00BD79C4">
              <w:rPr>
                <w:rFonts w:eastAsia="Times New Roman"/>
                <w:sz w:val="20"/>
                <w:szCs w:val="20"/>
              </w:rPr>
              <w:br/>
            </w:r>
            <w:r w:rsidRPr="00BD79C4">
              <w:rPr>
                <w:rFonts w:eastAsia="Times New Roman"/>
                <w:sz w:val="20"/>
                <w:szCs w:val="20"/>
              </w:rPr>
              <w:br/>
              <w:t xml:space="preserve">II. </w:t>
            </w:r>
            <w:r w:rsidRPr="00BD79C4">
              <w:rPr>
                <w:rFonts w:eastAsia="Times New Roman"/>
                <w:sz w:val="20"/>
                <w:szCs w:val="20"/>
              </w:rPr>
              <w:br/>
              <w:t>1) Deweloper ma prawo odstąpić od umowy deweloperskiej w przypadku niespełnienia przez nabywcę świadczenia pieniężnego w terminie lub wysokości określonej w umowie deweloperskiej, mimo wezwania nabywcy w formie pisemnej do uiszczenia zaległych kwot w terminie 30 dni od dnia doręczenia wezwania, chyba że niespełnienie przez nabywcę świadczenia pieniężnego jest spowodowane działaniem siły wyższej.</w:t>
            </w:r>
            <w:r w:rsidRPr="00BD79C4">
              <w:rPr>
                <w:rFonts w:eastAsia="Times New Roman"/>
                <w:sz w:val="20"/>
                <w:szCs w:val="20"/>
              </w:rPr>
              <w:br/>
            </w:r>
            <w:r w:rsidRPr="00BD79C4">
              <w:rPr>
                <w:rFonts w:eastAsia="Times New Roman"/>
                <w:sz w:val="20"/>
                <w:szCs w:val="20"/>
              </w:rPr>
              <w:br/>
              <w:t>2) Deweloper ma prawo odstąpić od umowy deweloperskiej w przypadku niestawienia się nabywcy do odbioru lokalu mieszkalnego albo domu jednorodzinnego lub podpisania aktu notarialnego przenoszącego na nabywcę prawo, o którym mowa w art. 1 ustawy o ochronie praw nabywcy lokalu mieszkalnego lub domu jednorodzinnego, tj. ustanowienia odrębnej własności lokalu mieszkalnego i przeniesienia własności tego lokalu na nabywcę, pomimo dwukrotnego doręczenia wezwania w formie pisemnej w odstępie co najmniej 60 dni, chyba że niestawienie się nabywcy jest spowodowane działaniem siły wyższej.</w:t>
            </w:r>
            <w:r w:rsidRPr="00BD79C4">
              <w:rPr>
                <w:rFonts w:eastAsia="Times New Roman"/>
                <w:sz w:val="20"/>
                <w:szCs w:val="20"/>
              </w:rPr>
              <w:br/>
            </w:r>
            <w:r w:rsidRPr="00BD79C4">
              <w:rPr>
                <w:rFonts w:eastAsia="Times New Roman"/>
                <w:sz w:val="20"/>
                <w:szCs w:val="20"/>
              </w:rPr>
              <w:br/>
              <w:t xml:space="preserve"> W przypadku odstąpienia od umowy deweloperskiej przez dewelopera na podstawach opisanych w pkt. 1, 2 powyżej, nabywca zobowiązany jest wyrazić zgodę na wykreślenie roszczenia o przeniesienie własności nieruchomości.</w:t>
            </w:r>
          </w:p>
        </w:tc>
      </w:tr>
      <w:tr w:rsidR="00BD79C4" w:rsidRPr="00BD79C4" w14:paraId="4CE6330D" w14:textId="77777777">
        <w:trPr>
          <w:trHeight w:val="612"/>
        </w:trPr>
        <w:tc>
          <w:tcPr>
            <w:tcW w:w="9781" w:type="dxa"/>
            <w:gridSpan w:val="7"/>
            <w:shd w:val="clear" w:color="auto" w:fill="BFBFBF" w:themeFill="background1" w:themeFillShade="BF"/>
          </w:tcPr>
          <w:p w14:paraId="6CF6A35E" w14:textId="77777777" w:rsidR="00962D9E" w:rsidRPr="00BD79C4" w:rsidRDefault="00962D9E" w:rsidP="00962D9E">
            <w:pPr>
              <w:pStyle w:val="Akapitzlist"/>
              <w:spacing w:before="120" w:after="0" w:line="240" w:lineRule="auto"/>
              <w:ind w:left="0"/>
              <w:jc w:val="both"/>
              <w:rPr>
                <w:rFonts w:cs="Arial"/>
                <w:b/>
                <w:sz w:val="20"/>
                <w:szCs w:val="20"/>
              </w:rPr>
            </w:pPr>
            <w:r w:rsidRPr="00BD79C4">
              <w:rPr>
                <w:rFonts w:cs="Arial"/>
                <w:b/>
                <w:sz w:val="20"/>
                <w:szCs w:val="20"/>
              </w:rPr>
              <w:lastRenderedPageBreak/>
              <w:t>INNE INFORMACJE</w:t>
            </w:r>
          </w:p>
        </w:tc>
      </w:tr>
      <w:tr w:rsidR="00BD79C4" w:rsidRPr="00BD79C4" w14:paraId="5855ED2A" w14:textId="77777777">
        <w:trPr>
          <w:trHeight w:val="2168"/>
        </w:trPr>
        <w:tc>
          <w:tcPr>
            <w:tcW w:w="9781" w:type="dxa"/>
            <w:gridSpan w:val="7"/>
            <w:tcBorders>
              <w:bottom w:val="single" w:sz="4" w:space="0" w:color="auto"/>
            </w:tcBorders>
            <w:shd w:val="clear" w:color="auto" w:fill="D9D9D9" w:themeFill="background1" w:themeFillShade="D9"/>
          </w:tcPr>
          <w:p w14:paraId="364154C3" w14:textId="77777777" w:rsidR="00962D9E" w:rsidRPr="00BD79C4" w:rsidRDefault="00962D9E" w:rsidP="00962D9E">
            <w:pPr>
              <w:pStyle w:val="Akapitzlist"/>
              <w:spacing w:before="30" w:after="0" w:line="240" w:lineRule="auto"/>
              <w:ind w:left="0"/>
              <w:jc w:val="both"/>
              <w:rPr>
                <w:rFonts w:cs="Arial"/>
                <w:sz w:val="20"/>
                <w:szCs w:val="20"/>
              </w:rPr>
            </w:pPr>
            <w:r w:rsidRPr="00BD79C4">
              <w:rPr>
                <w:rFonts w:cs="Arial"/>
                <w:sz w:val="20"/>
                <w:szCs w:val="20"/>
              </w:rPr>
              <w:t>Informacja o:</w:t>
            </w:r>
          </w:p>
          <w:p w14:paraId="035D8AEB" w14:textId="77777777" w:rsidR="00962D9E" w:rsidRPr="00BD79C4" w:rsidRDefault="00962D9E" w:rsidP="00962D9E">
            <w:pPr>
              <w:pStyle w:val="Default"/>
              <w:jc w:val="both"/>
              <w:rPr>
                <w:rFonts w:asciiTheme="minorHAnsi" w:hAnsiTheme="minorHAnsi" w:cstheme="minorHAnsi"/>
                <w:color w:val="auto"/>
                <w:sz w:val="20"/>
                <w:szCs w:val="20"/>
                <w:lang w:eastAsia="pl-PL"/>
              </w:rPr>
            </w:pPr>
            <w:r w:rsidRPr="00BD79C4">
              <w:rPr>
                <w:color w:val="auto"/>
                <w:sz w:val="20"/>
                <w:szCs w:val="20"/>
                <w:lang w:eastAsia="pl-PL"/>
              </w:rPr>
              <w:t xml:space="preserve">1) </w:t>
            </w:r>
            <w:r w:rsidRPr="00BD79C4">
              <w:rPr>
                <w:rFonts w:asciiTheme="minorHAnsi" w:hAnsiTheme="minorHAnsi" w:cstheme="minorHAnsi"/>
                <w:color w:val="auto"/>
                <w:sz w:val="20"/>
                <w:szCs w:val="20"/>
                <w:lang w:eastAsia="pl-PL"/>
              </w:rPr>
              <w:t xml:space="preserve">zgodzie banku lub innego wierzyciela hipotecznego na bez obciążeniowe ustanowienie odrębnej własności lokalu mieszkalnego i przeniesienie jego własności na nabywcę po wpłacie pełnej ceny przez nabywcę lub zobowiązaniu do jej udzielenia, jeżeli takie obciążenie istnieje, albo zgodzie banku lub innego wierzyciela hipotecznego na bez 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 istnieje; </w:t>
            </w:r>
          </w:p>
          <w:p w14:paraId="433160A8" w14:textId="7671524D" w:rsidR="00962D9E" w:rsidRPr="00440446" w:rsidRDefault="00962D9E" w:rsidP="00440446">
            <w:pPr>
              <w:pStyle w:val="Default"/>
              <w:jc w:val="both"/>
              <w:rPr>
                <w:rFonts w:asciiTheme="minorHAnsi" w:hAnsiTheme="minorHAnsi" w:cstheme="minorHAnsi"/>
                <w:color w:val="auto"/>
                <w:sz w:val="20"/>
                <w:lang w:eastAsia="pl-PL"/>
              </w:rPr>
            </w:pPr>
            <w:r w:rsidRPr="00BD79C4">
              <w:rPr>
                <w:rFonts w:asciiTheme="minorHAnsi" w:hAnsiTheme="minorHAnsi" w:cstheme="minorHAnsi"/>
                <w:color w:val="auto"/>
                <w:sz w:val="20"/>
                <w:szCs w:val="20"/>
                <w:lang w:eastAsia="pl-PL"/>
              </w:rPr>
              <w:t xml:space="preserve">2) w przypadku umów, o których mowa w art. 2 ust. 2 ustawy z dnia 20 maja 2021 r. o ochronie praw nabywcy lokalu mieszkalnego lub domu jednorodzinnego oraz Deweloperskim Funduszu Gwarancyjnym, o zgodzie banku lub innego wierzyciela hipotecznego na bez obciążeniowe przeniesienie własności lokalu użytkowego na nabywcę po wpłacie pełnej ceny przez nabywcę lub zobowiązaniu do udzielenia takiej zgody, jeżeli takie obciążenie istnieje, albo zgodzie banku lub innego wierzyciela hipotecznego na bez obciążeniowe przeniesienie na nabywcę ułamkowej części własności </w:t>
            </w:r>
            <w:r w:rsidRPr="00BD79C4">
              <w:rPr>
                <w:rFonts w:asciiTheme="minorHAnsi" w:hAnsiTheme="minorHAnsi" w:cstheme="minorHAnsi"/>
                <w:color w:val="auto"/>
                <w:sz w:val="20"/>
                <w:szCs w:val="20"/>
                <w:lang w:eastAsia="pl-PL"/>
              </w:rPr>
              <w:lastRenderedPageBreak/>
              <w:t xml:space="preserve">lokalu użytkowego po wpłacie pełnej ceny przez nabywcę lub zobowiązaniu do udzielenia takiej zgody, jeżeli takie obciążenie istnieje </w:t>
            </w:r>
          </w:p>
        </w:tc>
      </w:tr>
      <w:tr w:rsidR="00BD79C4" w:rsidRPr="00BD79C4" w14:paraId="67D1B556" w14:textId="77777777" w:rsidTr="00440446">
        <w:trPr>
          <w:trHeight w:val="1833"/>
        </w:trPr>
        <w:tc>
          <w:tcPr>
            <w:tcW w:w="9781" w:type="dxa"/>
            <w:gridSpan w:val="7"/>
            <w:tcBorders>
              <w:top w:val="single" w:sz="4" w:space="0" w:color="auto"/>
              <w:bottom w:val="nil"/>
            </w:tcBorders>
            <w:shd w:val="clear" w:color="auto" w:fill="D9D9D9" w:themeFill="background1" w:themeFillShade="D9"/>
          </w:tcPr>
          <w:p w14:paraId="73783FD1" w14:textId="77777777" w:rsidR="00962D9E" w:rsidRPr="00BD79C4" w:rsidRDefault="00962D9E" w:rsidP="00962D9E">
            <w:pPr>
              <w:spacing w:before="40" w:after="0" w:line="240" w:lineRule="auto"/>
              <w:ind w:left="28" w:right="57"/>
              <w:jc w:val="both"/>
              <w:rPr>
                <w:rFonts w:cstheme="minorHAnsi"/>
                <w:sz w:val="20"/>
                <w:szCs w:val="20"/>
              </w:rPr>
            </w:pPr>
            <w:r w:rsidRPr="00BD79C4">
              <w:rPr>
                <w:rFonts w:cstheme="minorHAnsi"/>
                <w:sz w:val="20"/>
                <w:szCs w:val="20"/>
              </w:rPr>
              <w:lastRenderedPageBreak/>
              <w:t xml:space="preserve"> II. Informacja o możliwości zapoznania się w lokalu przedsiębiorstwa przez osobę zainteresowaną zawarciem umowy deweloperskiej z:</w:t>
            </w:r>
          </w:p>
          <w:p w14:paraId="673533C7" w14:textId="77777777" w:rsidR="00962D9E" w:rsidRPr="00BD79C4" w:rsidRDefault="00962D9E" w:rsidP="00962D9E">
            <w:pPr>
              <w:pStyle w:val="Default"/>
              <w:jc w:val="both"/>
              <w:rPr>
                <w:rFonts w:asciiTheme="minorHAnsi" w:hAnsiTheme="minorHAnsi" w:cstheme="minorHAnsi"/>
                <w:color w:val="auto"/>
                <w:sz w:val="20"/>
                <w:szCs w:val="20"/>
                <w:lang w:eastAsia="pl-PL"/>
              </w:rPr>
            </w:pPr>
            <w:r w:rsidRPr="00BD79C4">
              <w:rPr>
                <w:rFonts w:asciiTheme="minorHAnsi" w:hAnsiTheme="minorHAnsi" w:cstheme="minorHAnsi"/>
                <w:color w:val="auto"/>
                <w:sz w:val="20"/>
                <w:szCs w:val="20"/>
                <w:lang w:eastAsia="pl-PL"/>
              </w:rPr>
              <w:t xml:space="preserve">1) aktualnym stanem księgi wieczystej prowadzonej dla nieruchomości; </w:t>
            </w:r>
          </w:p>
          <w:p w14:paraId="7F10470F" w14:textId="77777777" w:rsidR="00962D9E" w:rsidRPr="00BD79C4" w:rsidRDefault="00962D9E" w:rsidP="00962D9E">
            <w:pPr>
              <w:pStyle w:val="Default"/>
              <w:jc w:val="both"/>
              <w:rPr>
                <w:rFonts w:asciiTheme="minorHAnsi" w:hAnsiTheme="minorHAnsi" w:cstheme="minorHAnsi"/>
                <w:color w:val="auto"/>
                <w:sz w:val="20"/>
                <w:szCs w:val="20"/>
                <w:lang w:eastAsia="pl-PL"/>
              </w:rPr>
            </w:pPr>
            <w:r w:rsidRPr="00BD79C4">
              <w:rPr>
                <w:rFonts w:asciiTheme="minorHAnsi" w:hAnsiTheme="minorHAnsi" w:cstheme="minorHAnsi"/>
                <w:color w:val="auto"/>
                <w:sz w:val="20"/>
                <w:szCs w:val="20"/>
                <w:lang w:eastAsia="pl-PL"/>
              </w:rPr>
              <w:t xml:space="preserve">2) 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 </w:t>
            </w:r>
          </w:p>
          <w:p w14:paraId="2E830EA0" w14:textId="77777777" w:rsidR="00962D9E" w:rsidRPr="00BD79C4" w:rsidRDefault="00962D9E" w:rsidP="00962D9E">
            <w:pPr>
              <w:pStyle w:val="Default"/>
              <w:jc w:val="both"/>
              <w:rPr>
                <w:rFonts w:asciiTheme="minorHAnsi" w:hAnsiTheme="minorHAnsi" w:cstheme="minorHAnsi"/>
                <w:color w:val="auto"/>
                <w:sz w:val="20"/>
                <w:szCs w:val="20"/>
                <w:lang w:eastAsia="pl-PL"/>
              </w:rPr>
            </w:pPr>
            <w:r w:rsidRPr="00BD79C4">
              <w:rPr>
                <w:rFonts w:asciiTheme="minorHAnsi" w:hAnsiTheme="minorHAnsi" w:cstheme="minorHAnsi"/>
                <w:color w:val="auto"/>
                <w:sz w:val="20"/>
                <w:szCs w:val="20"/>
                <w:lang w:eastAsia="pl-PL"/>
              </w:rPr>
              <w:t xml:space="preserve">3) pozwoleniem na budowę albo zgłoszeniem budowy, o którym mowa w art. 29 ust. 1 pkt 1 ustawy z dnia 7 lipca 1994 r. – Prawo budowlane, do którego organ administracji architektoniczno-budowlanej nie wniósł sprzeciwu; </w:t>
            </w:r>
          </w:p>
          <w:p w14:paraId="74D4D37C" w14:textId="77777777" w:rsidR="00962D9E" w:rsidRPr="00BD79C4" w:rsidRDefault="00962D9E" w:rsidP="00962D9E">
            <w:pPr>
              <w:pStyle w:val="Default"/>
              <w:jc w:val="both"/>
              <w:rPr>
                <w:rFonts w:asciiTheme="minorHAnsi" w:hAnsiTheme="minorHAnsi" w:cstheme="minorHAnsi"/>
                <w:color w:val="auto"/>
                <w:sz w:val="20"/>
                <w:szCs w:val="20"/>
                <w:lang w:eastAsia="pl-PL"/>
              </w:rPr>
            </w:pPr>
            <w:r w:rsidRPr="00BD79C4">
              <w:rPr>
                <w:rFonts w:asciiTheme="minorHAnsi" w:hAnsiTheme="minorHAnsi" w:cstheme="minorHAnsi"/>
                <w:color w:val="auto"/>
                <w:sz w:val="20"/>
                <w:szCs w:val="20"/>
                <w:lang w:eastAsia="pl-PL"/>
              </w:rPr>
              <w:t xml:space="preserve">4) sprawozdaniem finansowym dewelopera za ostatnie dwa lata, a w przypadku: </w:t>
            </w:r>
          </w:p>
          <w:p w14:paraId="23C22134" w14:textId="77777777" w:rsidR="00962D9E" w:rsidRPr="00BD79C4" w:rsidRDefault="00962D9E" w:rsidP="00962D9E">
            <w:pPr>
              <w:pStyle w:val="Default"/>
              <w:jc w:val="both"/>
              <w:rPr>
                <w:rFonts w:asciiTheme="minorHAnsi" w:hAnsiTheme="minorHAnsi" w:cstheme="minorHAnsi"/>
                <w:color w:val="auto"/>
                <w:sz w:val="20"/>
                <w:szCs w:val="20"/>
                <w:lang w:eastAsia="pl-PL"/>
              </w:rPr>
            </w:pPr>
            <w:r w:rsidRPr="00BD79C4">
              <w:rPr>
                <w:rFonts w:asciiTheme="minorHAnsi" w:hAnsiTheme="minorHAnsi" w:cstheme="minorHAnsi"/>
                <w:color w:val="auto"/>
                <w:sz w:val="20"/>
                <w:szCs w:val="20"/>
                <w:lang w:eastAsia="pl-PL"/>
              </w:rPr>
              <w:t xml:space="preserve">a) prowadzenia działalności przez okres krótszy niż dwa lata – sprawozdaniem finansowym za okres </w:t>
            </w:r>
            <w:proofErr w:type="spellStart"/>
            <w:r w:rsidRPr="00BD79C4">
              <w:rPr>
                <w:rFonts w:asciiTheme="minorHAnsi" w:hAnsiTheme="minorHAnsi" w:cstheme="minorHAnsi"/>
                <w:color w:val="auto"/>
                <w:sz w:val="20"/>
                <w:szCs w:val="20"/>
                <w:lang w:eastAsia="pl-PL"/>
              </w:rPr>
              <w:t>ostat</w:t>
            </w:r>
            <w:proofErr w:type="spellEnd"/>
            <w:r w:rsidRPr="00BD79C4">
              <w:rPr>
                <w:rFonts w:asciiTheme="minorHAnsi" w:hAnsiTheme="minorHAnsi" w:cstheme="minorHAnsi"/>
                <w:color w:val="auto"/>
                <w:sz w:val="20"/>
                <w:szCs w:val="20"/>
                <w:lang w:eastAsia="pl-PL"/>
              </w:rPr>
              <w:t xml:space="preserve">-niego roku, </w:t>
            </w:r>
          </w:p>
          <w:p w14:paraId="698083C2" w14:textId="77777777" w:rsidR="00962D9E" w:rsidRPr="00BD79C4" w:rsidRDefault="00962D9E" w:rsidP="00962D9E">
            <w:pPr>
              <w:pStyle w:val="Default"/>
              <w:jc w:val="both"/>
              <w:rPr>
                <w:rFonts w:asciiTheme="minorHAnsi" w:hAnsiTheme="minorHAnsi" w:cstheme="minorHAnsi"/>
                <w:color w:val="auto"/>
                <w:sz w:val="20"/>
                <w:szCs w:val="20"/>
                <w:lang w:eastAsia="pl-PL"/>
              </w:rPr>
            </w:pPr>
            <w:r w:rsidRPr="00BD79C4">
              <w:rPr>
                <w:rFonts w:asciiTheme="minorHAnsi" w:hAnsiTheme="minorHAnsi" w:cstheme="minorHAnsi"/>
                <w:color w:val="auto"/>
                <w:sz w:val="20"/>
                <w:szCs w:val="20"/>
                <w:lang w:eastAsia="pl-PL"/>
              </w:rPr>
              <w:t xml:space="preserve">b) realizacji inwestycji przez spółkę celową – sprawozdaniem spółki dominującej oraz spółki celowej; </w:t>
            </w:r>
          </w:p>
          <w:p w14:paraId="024B8857" w14:textId="77777777" w:rsidR="00962D9E" w:rsidRPr="00BD79C4" w:rsidRDefault="00962D9E" w:rsidP="00962D9E">
            <w:pPr>
              <w:pStyle w:val="Default"/>
              <w:jc w:val="both"/>
              <w:rPr>
                <w:rFonts w:asciiTheme="minorHAnsi" w:hAnsiTheme="minorHAnsi" w:cstheme="minorHAnsi"/>
                <w:color w:val="auto"/>
                <w:sz w:val="20"/>
                <w:szCs w:val="20"/>
                <w:lang w:eastAsia="pl-PL"/>
              </w:rPr>
            </w:pPr>
            <w:r w:rsidRPr="00BD79C4">
              <w:rPr>
                <w:rFonts w:asciiTheme="minorHAnsi" w:hAnsiTheme="minorHAnsi" w:cstheme="minorHAnsi"/>
                <w:color w:val="auto"/>
                <w:sz w:val="20"/>
                <w:szCs w:val="20"/>
                <w:lang w:eastAsia="pl-PL"/>
              </w:rPr>
              <w:t xml:space="preserve">5) projektem budowlanym; </w:t>
            </w:r>
          </w:p>
          <w:p w14:paraId="26BA236F" w14:textId="77777777" w:rsidR="00962D9E" w:rsidRPr="00BD79C4" w:rsidRDefault="00962D9E" w:rsidP="00962D9E">
            <w:pPr>
              <w:pStyle w:val="Default"/>
              <w:jc w:val="both"/>
              <w:rPr>
                <w:rFonts w:asciiTheme="minorHAnsi" w:hAnsiTheme="minorHAnsi" w:cstheme="minorHAnsi"/>
                <w:color w:val="auto"/>
                <w:sz w:val="20"/>
                <w:szCs w:val="20"/>
                <w:lang w:eastAsia="pl-PL"/>
              </w:rPr>
            </w:pPr>
            <w:r w:rsidRPr="00BD79C4">
              <w:rPr>
                <w:rFonts w:asciiTheme="minorHAnsi" w:hAnsiTheme="minorHAnsi" w:cstheme="minorHAnsi"/>
                <w:color w:val="auto"/>
                <w:sz w:val="20"/>
                <w:szCs w:val="20"/>
                <w:lang w:eastAsia="pl-PL"/>
              </w:rPr>
              <w:t xml:space="preserve">6) decyzją o pozwoleniu na użytkowanie budynku lub zawiadomieniem o zakończeniu budowy, do którego organ nadzoru budowlanego nie wniósł sprzeciwu; </w:t>
            </w:r>
          </w:p>
          <w:p w14:paraId="4DEE2B26" w14:textId="77777777" w:rsidR="00962D9E" w:rsidRPr="00BD79C4" w:rsidRDefault="00962D9E" w:rsidP="00962D9E">
            <w:pPr>
              <w:pStyle w:val="Default"/>
              <w:jc w:val="both"/>
              <w:rPr>
                <w:rFonts w:asciiTheme="minorHAnsi" w:hAnsiTheme="minorHAnsi" w:cstheme="minorHAnsi"/>
                <w:color w:val="auto"/>
                <w:sz w:val="20"/>
                <w:szCs w:val="20"/>
                <w:lang w:eastAsia="pl-PL"/>
              </w:rPr>
            </w:pPr>
            <w:r w:rsidRPr="00BD79C4">
              <w:rPr>
                <w:rFonts w:asciiTheme="minorHAnsi" w:hAnsiTheme="minorHAnsi" w:cstheme="minorHAnsi"/>
                <w:color w:val="auto"/>
                <w:sz w:val="20"/>
                <w:szCs w:val="20"/>
                <w:lang w:eastAsia="pl-PL"/>
              </w:rPr>
              <w:t>7) zaświadczeniem o samodzielności lokalu (jeśli występuje taka okoliczność)</w:t>
            </w:r>
          </w:p>
          <w:p w14:paraId="44FA28C5" w14:textId="77777777" w:rsidR="00962D9E" w:rsidRPr="00BD79C4" w:rsidRDefault="00962D9E" w:rsidP="00962D9E">
            <w:pPr>
              <w:pStyle w:val="Default"/>
              <w:jc w:val="both"/>
              <w:rPr>
                <w:rFonts w:asciiTheme="minorHAnsi" w:hAnsiTheme="minorHAnsi" w:cstheme="minorHAnsi"/>
                <w:color w:val="auto"/>
                <w:sz w:val="20"/>
                <w:szCs w:val="20"/>
                <w:lang w:eastAsia="pl-PL"/>
              </w:rPr>
            </w:pPr>
            <w:r w:rsidRPr="00BD79C4">
              <w:rPr>
                <w:rFonts w:asciiTheme="minorHAnsi" w:hAnsiTheme="minorHAnsi" w:cstheme="minorHAnsi"/>
                <w:color w:val="auto"/>
                <w:sz w:val="20"/>
                <w:szCs w:val="20"/>
                <w:lang w:eastAsia="pl-PL"/>
              </w:rPr>
              <w:t xml:space="preserve">8) aktem ustanowienia odrębnej własności lokalu; </w:t>
            </w:r>
          </w:p>
          <w:p w14:paraId="4BFAF0D9" w14:textId="77777777" w:rsidR="00962D9E" w:rsidRPr="00BD79C4" w:rsidRDefault="00962D9E" w:rsidP="00962D9E">
            <w:pPr>
              <w:pStyle w:val="Default"/>
              <w:jc w:val="both"/>
              <w:rPr>
                <w:rFonts w:asciiTheme="minorHAnsi" w:hAnsiTheme="minorHAnsi" w:cstheme="minorHAnsi"/>
                <w:color w:val="auto"/>
                <w:sz w:val="20"/>
                <w:szCs w:val="20"/>
                <w:lang w:eastAsia="pl-PL"/>
              </w:rPr>
            </w:pPr>
            <w:r w:rsidRPr="00BD79C4">
              <w:rPr>
                <w:rFonts w:asciiTheme="minorHAnsi" w:hAnsiTheme="minorHAnsi" w:cstheme="minorHAnsi"/>
                <w:color w:val="auto"/>
                <w:sz w:val="20"/>
                <w:szCs w:val="20"/>
                <w:lang w:eastAsia="pl-PL"/>
              </w:rPr>
              <w:t xml:space="preserve">9) dokumentem potwierdzającym: </w:t>
            </w:r>
          </w:p>
          <w:p w14:paraId="74F68228" w14:textId="77777777" w:rsidR="00962D9E" w:rsidRPr="00BD79C4" w:rsidRDefault="00962D9E" w:rsidP="00962D9E">
            <w:pPr>
              <w:pStyle w:val="Default"/>
              <w:jc w:val="both"/>
              <w:rPr>
                <w:rFonts w:asciiTheme="minorHAnsi" w:hAnsiTheme="minorHAnsi" w:cstheme="minorHAnsi"/>
                <w:color w:val="auto"/>
                <w:sz w:val="20"/>
                <w:szCs w:val="20"/>
                <w:lang w:eastAsia="pl-PL"/>
              </w:rPr>
            </w:pPr>
            <w:r w:rsidRPr="00BD79C4">
              <w:rPr>
                <w:rFonts w:asciiTheme="minorHAnsi" w:hAnsiTheme="minorHAnsi" w:cstheme="minorHAnsi"/>
                <w:color w:val="auto"/>
                <w:sz w:val="20"/>
                <w:szCs w:val="20"/>
                <w:lang w:eastAsia="pl-PL"/>
              </w:rPr>
              <w:t xml:space="preserve">a) zgodę banku lub innego wierzyciela hipotecznego na bez obciążeniowe ustanowienie odrębnej własności lokalu mieszkalnego i przeniesienie jego własności na nabywcę po wpłacie pełnej ceny przez nabywcę lub zobowiązanie do jej udzielenia, jeżeli takie obciążenie istnieje, albo zgodę banku lub innego wierzyciela hipotecznego na bez 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 </w:t>
            </w:r>
          </w:p>
          <w:p w14:paraId="2FEC23C1" w14:textId="77777777" w:rsidR="00962D9E" w:rsidRPr="00BD79C4" w:rsidRDefault="00962D9E" w:rsidP="00962D9E">
            <w:pPr>
              <w:pStyle w:val="Default"/>
              <w:jc w:val="both"/>
              <w:rPr>
                <w:rFonts w:asciiTheme="minorHAnsi" w:hAnsiTheme="minorHAnsi" w:cstheme="minorHAnsi"/>
                <w:color w:val="auto"/>
                <w:sz w:val="20"/>
                <w:szCs w:val="20"/>
                <w:lang w:eastAsia="pl-PL"/>
              </w:rPr>
            </w:pPr>
            <w:r w:rsidRPr="00BD79C4">
              <w:rPr>
                <w:rFonts w:asciiTheme="minorHAnsi" w:hAnsiTheme="minorHAnsi" w:cstheme="minorHAnsi"/>
                <w:color w:val="auto"/>
                <w:sz w:val="20"/>
                <w:szCs w:val="20"/>
                <w:lang w:eastAsia="pl-PL"/>
              </w:rPr>
              <w:t>b) w przypadku umów, o których mowa w art. 2 ust. 2 ustawy z dnia 20 maja 2021 r. o ochronie praw nabywcy lokalu mieszkalnego lub domu jednorodzinnego oraz Deweloperskim Funduszu Gwarancyjnym, zgodę banku lub innego wierzyciela hipotecznego na bez</w:t>
            </w:r>
          </w:p>
          <w:p w14:paraId="11247A42" w14:textId="77777777" w:rsidR="00962D9E" w:rsidRPr="00BD79C4" w:rsidRDefault="00962D9E" w:rsidP="00962D9E">
            <w:pPr>
              <w:pStyle w:val="Default"/>
              <w:jc w:val="both"/>
              <w:rPr>
                <w:rFonts w:asciiTheme="minorHAnsi" w:hAnsiTheme="minorHAnsi" w:cstheme="minorHAnsi"/>
                <w:color w:val="auto"/>
                <w:sz w:val="20"/>
                <w:szCs w:val="20"/>
                <w:lang w:eastAsia="pl-PL"/>
              </w:rPr>
            </w:pPr>
            <w:r w:rsidRPr="00BD79C4">
              <w:rPr>
                <w:rFonts w:asciiTheme="minorHAnsi" w:hAnsiTheme="minorHAnsi" w:cstheme="minorHAnsi"/>
                <w:color w:val="auto"/>
                <w:sz w:val="20"/>
                <w:szCs w:val="20"/>
                <w:lang w:eastAsia="pl-PL"/>
              </w:rPr>
              <w:t>obciążeniowe przeniesienie własności lokalu użytkowego na nabywcę po wpłacie pełnej ceny przez nabywcę lub zobowiązanie do udzielenia takiej zgody, jeżeli takie obciążenie istnieje, albo zgodę banku lub innego wierzyciela hipotecznego na bez</w:t>
            </w:r>
          </w:p>
          <w:p w14:paraId="3F72F2F8" w14:textId="77777777" w:rsidR="00962D9E" w:rsidRPr="00BD79C4" w:rsidRDefault="00962D9E" w:rsidP="00962D9E">
            <w:pPr>
              <w:pStyle w:val="Default"/>
              <w:jc w:val="both"/>
              <w:rPr>
                <w:rFonts w:asciiTheme="minorHAnsi" w:hAnsiTheme="minorHAnsi" w:cstheme="minorHAnsi"/>
                <w:color w:val="auto"/>
                <w:sz w:val="20"/>
                <w:szCs w:val="20"/>
                <w:lang w:eastAsia="pl-PL"/>
              </w:rPr>
            </w:pPr>
            <w:r w:rsidRPr="00BD79C4">
              <w:rPr>
                <w:rFonts w:asciiTheme="minorHAnsi" w:hAnsiTheme="minorHAnsi" w:cstheme="minorHAnsi"/>
                <w:color w:val="auto"/>
                <w:sz w:val="20"/>
                <w:szCs w:val="20"/>
                <w:lang w:eastAsia="pl-PL"/>
              </w:rPr>
              <w:t>obciążeniowe przeniesienie na nabywcę ułamkowej części własności lokalu użytkowego po wpłacie pełnej ceny przez nabywcę lub zobowiązanie do udzielenia takiej zgody, jeżeli takie obciążenie istnieje .</w:t>
            </w:r>
          </w:p>
          <w:p w14:paraId="37DFE864" w14:textId="77777777" w:rsidR="00962D9E" w:rsidRPr="00BD79C4" w:rsidRDefault="00962D9E" w:rsidP="00962D9E">
            <w:pPr>
              <w:pStyle w:val="Default"/>
              <w:jc w:val="both"/>
              <w:rPr>
                <w:rFonts w:asciiTheme="minorHAnsi" w:hAnsiTheme="minorHAnsi" w:cstheme="minorHAnsi"/>
                <w:color w:val="auto"/>
                <w:sz w:val="20"/>
                <w:szCs w:val="20"/>
                <w:lang w:eastAsia="pl-PL"/>
              </w:rPr>
            </w:pPr>
          </w:p>
          <w:p w14:paraId="23E30511" w14:textId="77777777" w:rsidR="00962D9E" w:rsidRPr="00BD79C4" w:rsidRDefault="00962D9E" w:rsidP="00962D9E">
            <w:pPr>
              <w:pStyle w:val="Default"/>
              <w:jc w:val="both"/>
              <w:rPr>
                <w:rFonts w:asciiTheme="minorHAnsi" w:hAnsiTheme="minorHAnsi" w:cstheme="minorHAnsi"/>
                <w:color w:val="auto"/>
                <w:sz w:val="20"/>
                <w:szCs w:val="20"/>
                <w:lang w:eastAsia="pl-PL"/>
              </w:rPr>
            </w:pPr>
            <w:r w:rsidRPr="00BD79C4">
              <w:rPr>
                <w:rFonts w:asciiTheme="minorHAnsi" w:hAnsiTheme="minorHAnsi" w:cstheme="minorHAnsi"/>
                <w:color w:val="auto"/>
                <w:sz w:val="20"/>
                <w:szCs w:val="20"/>
                <w:lang w:eastAsia="pl-PL"/>
              </w:rPr>
              <w:t xml:space="preserve">III. Informacja: </w:t>
            </w:r>
          </w:p>
          <w:p w14:paraId="5746349E" w14:textId="77777777" w:rsidR="00962D9E" w:rsidRPr="00BD79C4" w:rsidRDefault="00962D9E" w:rsidP="00962D9E">
            <w:pPr>
              <w:pStyle w:val="Default"/>
              <w:jc w:val="both"/>
              <w:rPr>
                <w:rFonts w:asciiTheme="minorHAnsi" w:hAnsiTheme="minorHAnsi" w:cstheme="minorHAnsi"/>
                <w:color w:val="auto"/>
                <w:sz w:val="20"/>
                <w:szCs w:val="20"/>
                <w:lang w:eastAsia="pl-PL"/>
              </w:rPr>
            </w:pPr>
          </w:p>
          <w:p w14:paraId="3B5D6A44" w14:textId="2438B122" w:rsidR="00962D9E" w:rsidRPr="00BD79C4" w:rsidRDefault="00962D9E" w:rsidP="00962D9E">
            <w:pPr>
              <w:pStyle w:val="Default"/>
              <w:jc w:val="both"/>
              <w:rPr>
                <w:rFonts w:asciiTheme="minorHAnsi" w:hAnsiTheme="minorHAnsi" w:cstheme="minorHAnsi"/>
                <w:color w:val="auto"/>
                <w:sz w:val="20"/>
                <w:szCs w:val="20"/>
                <w:lang w:eastAsia="pl-PL"/>
              </w:rPr>
            </w:pPr>
            <w:r w:rsidRPr="00BD79C4">
              <w:rPr>
                <w:rFonts w:asciiTheme="minorHAnsi" w:hAnsiTheme="minorHAnsi" w:cstheme="minorHAnsi"/>
                <w:color w:val="auto"/>
                <w:sz w:val="20"/>
                <w:szCs w:val="20"/>
                <w:lang w:eastAsia="pl-PL"/>
              </w:rPr>
              <w:t xml:space="preserve">Środki pieniężne zgromadzone w </w:t>
            </w:r>
            <w:r w:rsidRPr="00BD79C4">
              <w:rPr>
                <w:rFonts w:asciiTheme="minorHAnsi" w:hAnsiTheme="minorHAnsi" w:cstheme="minorHAnsi"/>
                <w:b/>
                <w:bCs/>
                <w:color w:val="auto"/>
                <w:sz w:val="20"/>
                <w:szCs w:val="20"/>
                <w:lang w:eastAsia="pl-PL"/>
              </w:rPr>
              <w:t>Millen</w:t>
            </w:r>
            <w:r w:rsidR="00BD79C4" w:rsidRPr="00BD79C4">
              <w:rPr>
                <w:rFonts w:asciiTheme="minorHAnsi" w:hAnsiTheme="minorHAnsi" w:cstheme="minorHAnsi"/>
                <w:b/>
                <w:bCs/>
                <w:color w:val="auto"/>
                <w:sz w:val="20"/>
                <w:szCs w:val="20"/>
                <w:lang w:eastAsia="pl-PL"/>
              </w:rPr>
              <w:t>n</w:t>
            </w:r>
            <w:r w:rsidRPr="00BD79C4">
              <w:rPr>
                <w:rFonts w:asciiTheme="minorHAnsi" w:hAnsiTheme="minorHAnsi" w:cstheme="minorHAnsi"/>
                <w:b/>
                <w:bCs/>
                <w:color w:val="auto"/>
                <w:sz w:val="20"/>
                <w:szCs w:val="20"/>
                <w:lang w:eastAsia="pl-PL"/>
              </w:rPr>
              <w:t>ium Bank S.A.</w:t>
            </w:r>
            <w:r w:rsidRPr="00BD79C4">
              <w:rPr>
                <w:rFonts w:asciiTheme="minorHAnsi" w:hAnsiTheme="minorHAnsi" w:cstheme="minorHAnsi"/>
                <w:color w:val="auto"/>
                <w:sz w:val="20"/>
                <w:szCs w:val="20"/>
                <w:lang w:eastAsia="pl-PL"/>
              </w:rPr>
              <w:t xml:space="preserve">, prowadzącym zamknięty mieszkaniowy rachunek powierniczy albo zamknięty mieszkaniowy rachunek powierniczy, są objęte ochroną obowiązkowego systemu gwarantowania depozytów, na zasadach określonych w ustawie z dnia 10 czerwca 2016 r. o Bankowym Funduszu Gwarancyjnym, systemie gwarantowania depozytów oraz przymusowej restrukturyzacji (Dz. U. z 2020 r. poz. 842 oraz z 2021 r. poz. 680 i 1177). </w:t>
            </w:r>
          </w:p>
          <w:p w14:paraId="09C27684" w14:textId="77777777" w:rsidR="00962D9E" w:rsidRPr="00BD79C4" w:rsidRDefault="00962D9E" w:rsidP="00962D9E">
            <w:pPr>
              <w:pStyle w:val="Default"/>
              <w:jc w:val="both"/>
              <w:rPr>
                <w:rFonts w:asciiTheme="minorHAnsi" w:hAnsiTheme="minorHAnsi" w:cstheme="minorHAnsi"/>
                <w:color w:val="auto"/>
                <w:sz w:val="20"/>
                <w:szCs w:val="20"/>
                <w:lang w:eastAsia="pl-PL"/>
              </w:rPr>
            </w:pPr>
            <w:r w:rsidRPr="00BD79C4">
              <w:rPr>
                <w:rFonts w:asciiTheme="minorHAnsi" w:hAnsiTheme="minorHAnsi" w:cstheme="minorHAnsi"/>
                <w:color w:val="auto"/>
                <w:sz w:val="20"/>
                <w:szCs w:val="20"/>
                <w:lang w:eastAsia="pl-PL"/>
              </w:rPr>
              <w:t xml:space="preserve">Informacje podstawowe o obowiązkowym systemie gwarantowania depozytów: </w:t>
            </w:r>
          </w:p>
          <w:p w14:paraId="04496832" w14:textId="2DF03839" w:rsidR="00962D9E" w:rsidRPr="00BD79C4" w:rsidRDefault="00962D9E" w:rsidP="00962D9E">
            <w:pPr>
              <w:pStyle w:val="Default"/>
              <w:jc w:val="both"/>
              <w:rPr>
                <w:rFonts w:asciiTheme="minorHAnsi" w:hAnsiTheme="minorHAnsi" w:cstheme="minorHAnsi"/>
                <w:color w:val="auto"/>
                <w:sz w:val="20"/>
                <w:szCs w:val="20"/>
                <w:lang w:eastAsia="pl-PL"/>
              </w:rPr>
            </w:pPr>
            <w:r w:rsidRPr="00BD79C4">
              <w:rPr>
                <w:rFonts w:asciiTheme="minorHAnsi" w:hAnsiTheme="minorHAnsi" w:cstheme="minorHAnsi"/>
                <w:color w:val="auto"/>
                <w:sz w:val="20"/>
                <w:szCs w:val="20"/>
                <w:lang w:eastAsia="pl-PL"/>
              </w:rPr>
              <w:t xml:space="preserve">– ochrona środków dotyczy sytuacji spełnienia warunku gwarancji wobec </w:t>
            </w:r>
            <w:r w:rsidRPr="00BD79C4">
              <w:rPr>
                <w:rFonts w:asciiTheme="minorHAnsi" w:hAnsiTheme="minorHAnsi" w:cstheme="minorHAnsi"/>
                <w:b/>
                <w:bCs/>
                <w:color w:val="auto"/>
                <w:sz w:val="20"/>
                <w:szCs w:val="20"/>
                <w:lang w:eastAsia="pl-PL"/>
              </w:rPr>
              <w:t>Mille</w:t>
            </w:r>
            <w:r w:rsidR="00BD79C4" w:rsidRPr="00BD79C4">
              <w:rPr>
                <w:rFonts w:asciiTheme="minorHAnsi" w:hAnsiTheme="minorHAnsi" w:cstheme="minorHAnsi"/>
                <w:b/>
                <w:bCs/>
                <w:color w:val="auto"/>
                <w:sz w:val="20"/>
                <w:szCs w:val="20"/>
                <w:lang w:eastAsia="pl-PL"/>
              </w:rPr>
              <w:t>n</w:t>
            </w:r>
            <w:r w:rsidRPr="00BD79C4">
              <w:rPr>
                <w:rFonts w:asciiTheme="minorHAnsi" w:hAnsiTheme="minorHAnsi" w:cstheme="minorHAnsi"/>
                <w:b/>
                <w:bCs/>
                <w:color w:val="auto"/>
                <w:sz w:val="20"/>
                <w:szCs w:val="20"/>
                <w:lang w:eastAsia="pl-PL"/>
              </w:rPr>
              <w:t>nium Bank S.A.</w:t>
            </w:r>
            <w:r w:rsidRPr="00BD79C4">
              <w:rPr>
                <w:rFonts w:asciiTheme="minorHAnsi" w:hAnsiTheme="minorHAnsi" w:cstheme="minorHAnsi"/>
                <w:color w:val="auto"/>
                <w:sz w:val="20"/>
                <w:szCs w:val="20"/>
                <w:lang w:eastAsia="pl-PL"/>
              </w:rPr>
              <w:t xml:space="preserve">, </w:t>
            </w:r>
          </w:p>
          <w:p w14:paraId="0F2EE929" w14:textId="77777777" w:rsidR="00962D9E" w:rsidRPr="00BD79C4" w:rsidRDefault="00962D9E" w:rsidP="00962D9E">
            <w:pPr>
              <w:pStyle w:val="Default"/>
              <w:jc w:val="both"/>
              <w:rPr>
                <w:rFonts w:asciiTheme="minorHAnsi" w:hAnsiTheme="minorHAnsi" w:cstheme="minorHAnsi"/>
                <w:color w:val="auto"/>
                <w:sz w:val="20"/>
                <w:szCs w:val="20"/>
                <w:lang w:eastAsia="pl-PL"/>
              </w:rPr>
            </w:pPr>
            <w:r w:rsidRPr="00BD79C4">
              <w:rPr>
                <w:rFonts w:asciiTheme="minorHAnsi" w:hAnsiTheme="minorHAnsi" w:cstheme="minorHAnsi"/>
                <w:color w:val="auto"/>
                <w:sz w:val="20"/>
                <w:szCs w:val="20"/>
                <w:lang w:eastAsia="pl-PL"/>
              </w:rPr>
              <w:t xml:space="preserve">– 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 </w:t>
            </w:r>
          </w:p>
          <w:p w14:paraId="15B376B4" w14:textId="77777777" w:rsidR="00962D9E" w:rsidRPr="00BD79C4" w:rsidRDefault="00962D9E" w:rsidP="00962D9E">
            <w:pPr>
              <w:pStyle w:val="Default"/>
              <w:jc w:val="both"/>
              <w:rPr>
                <w:rFonts w:asciiTheme="minorHAnsi" w:hAnsiTheme="minorHAnsi" w:cstheme="minorHAnsi"/>
                <w:color w:val="auto"/>
                <w:sz w:val="20"/>
                <w:szCs w:val="20"/>
                <w:lang w:eastAsia="pl-PL"/>
              </w:rPr>
            </w:pPr>
            <w:r w:rsidRPr="00BD79C4">
              <w:rPr>
                <w:rFonts w:asciiTheme="minorHAnsi" w:hAnsiTheme="minorHAnsi" w:cstheme="minorHAnsi"/>
                <w:color w:val="auto"/>
                <w:sz w:val="20"/>
                <w:szCs w:val="20"/>
                <w:lang w:eastAsia="pl-PL"/>
              </w:rPr>
              <w:t xml:space="preserve">– limit gwarancyjny przypadający na jednego deponenta to równowartość w złotych 100 000 euro; w przypadkach określonych w art. 24 ust. 3 i 4 ustawy z dnia 10 czerwca 2016 r. o Bankowym Funduszu Gwarancyjnym, systemie gwarantowania depozytów oraz przymusowej restrukturyzacji, środki deponenta, w terminie 3 miesięcy od dnia ich wpływu na rachunek, objęte są gwarancjami ponad równowartość w złotych 100 000 euro, </w:t>
            </w:r>
          </w:p>
          <w:p w14:paraId="20DDA2B2" w14:textId="77777777" w:rsidR="00962D9E" w:rsidRPr="00BD79C4" w:rsidRDefault="00962D9E" w:rsidP="00962D9E">
            <w:pPr>
              <w:pStyle w:val="Default"/>
              <w:jc w:val="both"/>
              <w:rPr>
                <w:rFonts w:asciiTheme="minorHAnsi" w:hAnsiTheme="minorHAnsi" w:cstheme="minorHAnsi"/>
                <w:color w:val="auto"/>
                <w:sz w:val="20"/>
                <w:szCs w:val="20"/>
                <w:lang w:eastAsia="pl-PL"/>
              </w:rPr>
            </w:pPr>
            <w:r w:rsidRPr="00BD79C4">
              <w:rPr>
                <w:rFonts w:asciiTheme="minorHAnsi" w:hAnsiTheme="minorHAnsi" w:cstheme="minorHAnsi"/>
                <w:color w:val="auto"/>
                <w:sz w:val="20"/>
                <w:szCs w:val="20"/>
                <w:lang w:eastAsia="pl-PL"/>
              </w:rPr>
              <w:lastRenderedPageBreak/>
              <w:t>– podstawą wyliczenia kwoty środków gwarantowanych należnej deponentowi jest suma wszystkich podlegają-</w:t>
            </w:r>
            <w:proofErr w:type="spellStart"/>
            <w:r w:rsidRPr="00BD79C4">
              <w:rPr>
                <w:rFonts w:asciiTheme="minorHAnsi" w:hAnsiTheme="minorHAnsi" w:cstheme="minorHAnsi"/>
                <w:color w:val="auto"/>
                <w:sz w:val="20"/>
                <w:szCs w:val="20"/>
                <w:lang w:eastAsia="pl-PL"/>
              </w:rPr>
              <w:t>cych</w:t>
            </w:r>
            <w:proofErr w:type="spellEnd"/>
            <w:r w:rsidRPr="00BD79C4">
              <w:rPr>
                <w:rFonts w:asciiTheme="minorHAnsi" w:hAnsiTheme="minorHAnsi" w:cstheme="minorHAnsi"/>
                <w:color w:val="auto"/>
                <w:sz w:val="20"/>
                <w:szCs w:val="20"/>
                <w:lang w:eastAsia="pl-PL"/>
              </w:rPr>
              <w:t xml:space="preserve"> ochronie należności tego deponenta od banku, w tym należności z tytułu środków zgromadzonych na jego rachunkach osobistych i z tytułu jego udziału w środkach zgromadzonych na rachunku powierniczym, </w:t>
            </w:r>
          </w:p>
          <w:p w14:paraId="71B74F31" w14:textId="77777777" w:rsidR="00962D9E" w:rsidRPr="00BD79C4" w:rsidRDefault="00962D9E" w:rsidP="00962D9E">
            <w:pPr>
              <w:pStyle w:val="Default"/>
              <w:jc w:val="both"/>
              <w:rPr>
                <w:rFonts w:asciiTheme="minorHAnsi" w:hAnsiTheme="minorHAnsi" w:cstheme="minorHAnsi"/>
                <w:color w:val="auto"/>
                <w:sz w:val="20"/>
                <w:szCs w:val="20"/>
                <w:lang w:eastAsia="pl-PL"/>
              </w:rPr>
            </w:pPr>
            <w:r w:rsidRPr="00BD79C4">
              <w:rPr>
                <w:rFonts w:asciiTheme="minorHAnsi" w:hAnsiTheme="minorHAnsi" w:cstheme="minorHAnsi"/>
                <w:color w:val="auto"/>
                <w:sz w:val="20"/>
                <w:szCs w:val="20"/>
                <w:lang w:eastAsia="pl-PL"/>
              </w:rPr>
              <w:t xml:space="preserve">– wypłata środków gwarantowanych – co do zasady – następuje w terminie 7 dni roboczych od dnia spełnienia warunku gwarancji wobec banku, </w:t>
            </w:r>
          </w:p>
          <w:p w14:paraId="20660469" w14:textId="77777777" w:rsidR="00962D9E" w:rsidRPr="00BD79C4" w:rsidRDefault="00962D9E" w:rsidP="00962D9E">
            <w:pPr>
              <w:pStyle w:val="Default"/>
              <w:jc w:val="both"/>
              <w:rPr>
                <w:rFonts w:asciiTheme="minorHAnsi" w:hAnsiTheme="minorHAnsi" w:cstheme="minorHAnsi"/>
                <w:color w:val="auto"/>
                <w:sz w:val="20"/>
                <w:szCs w:val="20"/>
                <w:lang w:eastAsia="pl-PL"/>
              </w:rPr>
            </w:pPr>
            <w:r w:rsidRPr="00BD79C4">
              <w:rPr>
                <w:rFonts w:asciiTheme="minorHAnsi" w:hAnsiTheme="minorHAnsi" w:cstheme="minorHAnsi"/>
                <w:color w:val="auto"/>
                <w:sz w:val="20"/>
                <w:szCs w:val="20"/>
                <w:lang w:eastAsia="pl-PL"/>
              </w:rPr>
              <w:t xml:space="preserve">– wypłata środków gwarantowanych jest dokonywana w złotych, </w:t>
            </w:r>
          </w:p>
          <w:p w14:paraId="04C4027F" w14:textId="73A9B87F" w:rsidR="00962D9E" w:rsidRPr="00BD79C4" w:rsidRDefault="00962D9E" w:rsidP="00962D9E">
            <w:pPr>
              <w:pStyle w:val="Default"/>
              <w:jc w:val="both"/>
              <w:rPr>
                <w:rFonts w:asciiTheme="minorHAnsi" w:hAnsiTheme="minorHAnsi" w:cstheme="minorHAnsi"/>
                <w:color w:val="auto"/>
                <w:sz w:val="20"/>
                <w:szCs w:val="20"/>
                <w:lang w:eastAsia="pl-PL"/>
              </w:rPr>
            </w:pPr>
            <w:r w:rsidRPr="00BD79C4">
              <w:rPr>
                <w:rFonts w:asciiTheme="minorHAnsi" w:hAnsiTheme="minorHAnsi" w:cstheme="minorHAnsi"/>
                <w:color w:val="auto"/>
                <w:sz w:val="20"/>
                <w:szCs w:val="20"/>
                <w:lang w:eastAsia="pl-PL"/>
              </w:rPr>
              <w:t xml:space="preserve">– </w:t>
            </w:r>
            <w:r w:rsidRPr="00BD79C4">
              <w:rPr>
                <w:rFonts w:asciiTheme="minorHAnsi" w:hAnsiTheme="minorHAnsi" w:cstheme="minorHAnsi"/>
                <w:b/>
                <w:bCs/>
                <w:color w:val="auto"/>
                <w:sz w:val="20"/>
                <w:szCs w:val="20"/>
                <w:lang w:eastAsia="pl-PL"/>
              </w:rPr>
              <w:t>Mille</w:t>
            </w:r>
            <w:r w:rsidR="00BD79C4" w:rsidRPr="00BD79C4">
              <w:rPr>
                <w:rFonts w:asciiTheme="minorHAnsi" w:hAnsiTheme="minorHAnsi" w:cstheme="minorHAnsi"/>
                <w:b/>
                <w:bCs/>
                <w:color w:val="auto"/>
                <w:sz w:val="20"/>
                <w:szCs w:val="20"/>
                <w:lang w:eastAsia="pl-PL"/>
              </w:rPr>
              <w:t>n</w:t>
            </w:r>
            <w:r w:rsidRPr="00BD79C4">
              <w:rPr>
                <w:rFonts w:asciiTheme="minorHAnsi" w:hAnsiTheme="minorHAnsi" w:cstheme="minorHAnsi"/>
                <w:b/>
                <w:bCs/>
                <w:color w:val="auto"/>
                <w:sz w:val="20"/>
                <w:szCs w:val="20"/>
                <w:lang w:eastAsia="pl-PL"/>
              </w:rPr>
              <w:t>nium Bank S.A.</w:t>
            </w:r>
            <w:r w:rsidRPr="00BD79C4">
              <w:rPr>
                <w:rFonts w:asciiTheme="minorHAnsi" w:hAnsiTheme="minorHAnsi" w:cstheme="minorHAnsi"/>
                <w:color w:val="auto"/>
                <w:sz w:val="20"/>
                <w:szCs w:val="20"/>
                <w:lang w:eastAsia="pl-PL"/>
              </w:rPr>
              <w:t xml:space="preserve"> korzysta także z następujących znaków towarowych: ………… </w:t>
            </w:r>
          </w:p>
          <w:p w14:paraId="6EA06726" w14:textId="77777777" w:rsidR="00962D9E" w:rsidRPr="00BD79C4" w:rsidRDefault="00962D9E" w:rsidP="00962D9E">
            <w:pPr>
              <w:pStyle w:val="Default"/>
              <w:jc w:val="both"/>
              <w:rPr>
                <w:rFonts w:asciiTheme="minorHAnsi" w:hAnsiTheme="minorHAnsi" w:cstheme="minorHAnsi"/>
                <w:color w:val="auto"/>
                <w:sz w:val="20"/>
                <w:szCs w:val="20"/>
                <w:lang w:eastAsia="pl-PL"/>
              </w:rPr>
            </w:pPr>
            <w:r w:rsidRPr="00BD79C4">
              <w:rPr>
                <w:rFonts w:asciiTheme="minorHAnsi" w:hAnsiTheme="minorHAnsi" w:cstheme="minorHAnsi"/>
                <w:color w:val="auto"/>
                <w:sz w:val="20"/>
                <w:szCs w:val="20"/>
                <w:lang w:eastAsia="pl-PL"/>
              </w:rPr>
              <w:t xml:space="preserve">Dalsze informacje na temat systemu gwarantowania depozytów można uzyskać na stronie internetowej Bankowego Funduszu Gwarancyjnego: https://www.bfg.pl/. </w:t>
            </w:r>
          </w:p>
          <w:p w14:paraId="1AA212AB" w14:textId="77777777" w:rsidR="00962D9E" w:rsidRPr="00BD79C4" w:rsidRDefault="00962D9E" w:rsidP="00962D9E">
            <w:pPr>
              <w:pStyle w:val="Default"/>
              <w:jc w:val="both"/>
              <w:rPr>
                <w:rFonts w:asciiTheme="minorHAnsi" w:hAnsiTheme="minorHAnsi" w:cstheme="minorHAnsi"/>
                <w:color w:val="auto"/>
                <w:sz w:val="20"/>
                <w:szCs w:val="20"/>
                <w:lang w:eastAsia="pl-PL"/>
              </w:rPr>
            </w:pPr>
            <w:r w:rsidRPr="00BD79C4">
              <w:rPr>
                <w:rFonts w:asciiTheme="minorHAnsi" w:hAnsiTheme="minorHAnsi" w:cstheme="minorHAnsi"/>
                <w:color w:val="auto"/>
                <w:sz w:val="20"/>
                <w:szCs w:val="20"/>
                <w:lang w:eastAsia="pl-PL"/>
              </w:rPr>
              <w:t xml:space="preserve">IV. Informacja zamieszczana w przypadku zawarcia umowy mieszkaniowego rachunku powierniczego z oddziałem instytucji kredytowej w rozumieniu art. 4 ust. 1 pkt 18 ustawy z dnia 29 sierpnia 1997 r. – Prawo bankowe (Dz. U. z 2020 r. poz. 1896, 2320 i 2419 oraz z 2021 r. poz. 432, 680, 815 i 1177). </w:t>
            </w:r>
          </w:p>
          <w:p w14:paraId="167A2B09" w14:textId="52FFD9A6" w:rsidR="00962D9E" w:rsidRPr="00440446" w:rsidRDefault="00962D9E" w:rsidP="00440446">
            <w:pPr>
              <w:pStyle w:val="Default"/>
              <w:jc w:val="both"/>
              <w:rPr>
                <w:rFonts w:asciiTheme="minorHAnsi" w:hAnsiTheme="minorHAnsi" w:cstheme="minorHAnsi"/>
                <w:color w:val="auto"/>
                <w:sz w:val="20"/>
                <w:lang w:eastAsia="pl-PL"/>
              </w:rPr>
            </w:pPr>
            <w:r w:rsidRPr="00BD79C4">
              <w:rPr>
                <w:rFonts w:asciiTheme="minorHAnsi" w:hAnsiTheme="minorHAnsi" w:cstheme="minorHAnsi"/>
                <w:color w:val="auto"/>
                <w:sz w:val="20"/>
                <w:szCs w:val="20"/>
                <w:lang w:eastAsia="pl-PL"/>
              </w:rPr>
              <w:t>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p>
        </w:tc>
      </w:tr>
      <w:tr w:rsidR="00BD79C4" w:rsidRPr="00BD79C4" w14:paraId="222BABF9" w14:textId="77777777">
        <w:trPr>
          <w:trHeight w:val="612"/>
        </w:trPr>
        <w:tc>
          <w:tcPr>
            <w:tcW w:w="2920" w:type="dxa"/>
            <w:tcBorders>
              <w:left w:val="nil"/>
              <w:bottom w:val="nil"/>
              <w:right w:val="nil"/>
            </w:tcBorders>
          </w:tcPr>
          <w:p w14:paraId="4DA19B1E" w14:textId="77777777" w:rsidR="00962D9E" w:rsidRPr="00BD79C4" w:rsidRDefault="00962D9E" w:rsidP="00962D9E">
            <w:pPr>
              <w:pStyle w:val="Akapitzlist"/>
              <w:spacing w:before="40" w:after="0" w:line="240" w:lineRule="auto"/>
              <w:ind w:left="0"/>
              <w:rPr>
                <w:rFonts w:cs="Arial"/>
                <w:sz w:val="20"/>
                <w:szCs w:val="20"/>
              </w:rPr>
            </w:pPr>
          </w:p>
        </w:tc>
        <w:tc>
          <w:tcPr>
            <w:tcW w:w="913" w:type="dxa"/>
            <w:gridSpan w:val="2"/>
            <w:tcBorders>
              <w:left w:val="nil"/>
              <w:bottom w:val="nil"/>
              <w:right w:val="nil"/>
            </w:tcBorders>
          </w:tcPr>
          <w:p w14:paraId="4BC89D2C" w14:textId="77777777" w:rsidR="00962D9E" w:rsidRPr="00BD79C4" w:rsidRDefault="00962D9E" w:rsidP="00962D9E">
            <w:pPr>
              <w:pStyle w:val="Akapitzlist"/>
              <w:spacing w:before="30" w:after="0" w:line="240" w:lineRule="auto"/>
              <w:ind w:left="0"/>
              <w:jc w:val="both"/>
              <w:rPr>
                <w:rFonts w:cs="Arial"/>
                <w:sz w:val="20"/>
                <w:szCs w:val="20"/>
              </w:rPr>
            </w:pPr>
          </w:p>
        </w:tc>
        <w:tc>
          <w:tcPr>
            <w:tcW w:w="5041" w:type="dxa"/>
            <w:gridSpan w:val="3"/>
            <w:tcBorders>
              <w:left w:val="nil"/>
              <w:bottom w:val="nil"/>
              <w:right w:val="nil"/>
            </w:tcBorders>
          </w:tcPr>
          <w:p w14:paraId="6A428191" w14:textId="77777777" w:rsidR="00962D9E" w:rsidRPr="00BD79C4" w:rsidRDefault="00962D9E" w:rsidP="00962D9E">
            <w:pPr>
              <w:pStyle w:val="Akapitzlist"/>
              <w:spacing w:before="30" w:after="0" w:line="240" w:lineRule="auto"/>
              <w:ind w:left="0"/>
              <w:jc w:val="center"/>
              <w:rPr>
                <w:rFonts w:cs="Arial"/>
                <w:b/>
                <w:sz w:val="20"/>
                <w:szCs w:val="20"/>
              </w:rPr>
            </w:pPr>
          </w:p>
          <w:p w14:paraId="27A26180" w14:textId="77777777" w:rsidR="00962D9E" w:rsidRPr="00BD79C4" w:rsidRDefault="00962D9E" w:rsidP="00962D9E">
            <w:pPr>
              <w:pStyle w:val="Akapitzlist"/>
              <w:spacing w:before="30" w:after="0" w:line="240" w:lineRule="auto"/>
              <w:ind w:left="0"/>
              <w:jc w:val="center"/>
              <w:rPr>
                <w:rFonts w:cs="Arial"/>
                <w:b/>
                <w:sz w:val="20"/>
                <w:szCs w:val="20"/>
              </w:rPr>
            </w:pPr>
            <w:r w:rsidRPr="00BD79C4">
              <w:rPr>
                <w:rFonts w:cs="Arial"/>
                <w:b/>
                <w:sz w:val="20"/>
                <w:szCs w:val="20"/>
              </w:rPr>
              <w:t>podpis dewelopera albo osoby uprawnionej do jego reprezentacji oraz pieczęć firmowa</w:t>
            </w:r>
          </w:p>
          <w:p w14:paraId="16278ADC" w14:textId="77777777" w:rsidR="00962D9E" w:rsidRPr="00BD79C4" w:rsidRDefault="00962D9E" w:rsidP="00962D9E">
            <w:pPr>
              <w:pStyle w:val="Akapitzlist"/>
              <w:spacing w:before="30" w:after="0" w:line="240" w:lineRule="auto"/>
              <w:ind w:left="0"/>
              <w:jc w:val="center"/>
              <w:rPr>
                <w:rFonts w:cs="Arial"/>
                <w:b/>
                <w:sz w:val="20"/>
                <w:szCs w:val="20"/>
              </w:rPr>
            </w:pPr>
          </w:p>
          <w:p w14:paraId="147176B0" w14:textId="77777777" w:rsidR="00962D9E" w:rsidRPr="00BD79C4" w:rsidRDefault="00962D9E" w:rsidP="00962D9E">
            <w:pPr>
              <w:pStyle w:val="Akapitzlist"/>
              <w:spacing w:before="30" w:after="0" w:line="240" w:lineRule="auto"/>
              <w:ind w:left="0"/>
              <w:jc w:val="center"/>
              <w:rPr>
                <w:rFonts w:cs="Arial"/>
                <w:b/>
                <w:sz w:val="20"/>
                <w:szCs w:val="20"/>
              </w:rPr>
            </w:pPr>
          </w:p>
        </w:tc>
        <w:tc>
          <w:tcPr>
            <w:tcW w:w="907" w:type="dxa"/>
            <w:tcBorders>
              <w:left w:val="nil"/>
              <w:bottom w:val="nil"/>
              <w:right w:val="nil"/>
            </w:tcBorders>
          </w:tcPr>
          <w:p w14:paraId="5FE2FDB3" w14:textId="77777777" w:rsidR="00962D9E" w:rsidRPr="00BD79C4" w:rsidRDefault="00962D9E" w:rsidP="00962D9E">
            <w:pPr>
              <w:pStyle w:val="Akapitzlist"/>
              <w:spacing w:before="30" w:after="0" w:line="240" w:lineRule="auto"/>
              <w:ind w:left="0"/>
              <w:jc w:val="both"/>
              <w:rPr>
                <w:rFonts w:cs="Arial"/>
                <w:b/>
                <w:sz w:val="20"/>
                <w:szCs w:val="20"/>
              </w:rPr>
            </w:pPr>
          </w:p>
        </w:tc>
      </w:tr>
      <w:tr w:rsidR="00BD79C4" w:rsidRPr="00BD79C4" w14:paraId="2C39110A" w14:textId="77777777">
        <w:trPr>
          <w:trHeight w:val="612"/>
        </w:trPr>
        <w:tc>
          <w:tcPr>
            <w:tcW w:w="2920" w:type="dxa"/>
            <w:tcBorders>
              <w:top w:val="nil"/>
              <w:left w:val="nil"/>
              <w:bottom w:val="nil"/>
              <w:right w:val="nil"/>
            </w:tcBorders>
          </w:tcPr>
          <w:p w14:paraId="0071312C" w14:textId="77777777" w:rsidR="00962D9E" w:rsidRPr="00BD79C4" w:rsidRDefault="00962D9E" w:rsidP="00962D9E">
            <w:pPr>
              <w:pStyle w:val="Akapitzlist"/>
              <w:spacing w:before="40" w:after="0" w:line="240" w:lineRule="auto"/>
              <w:ind w:left="0"/>
              <w:rPr>
                <w:rFonts w:cs="Arial"/>
                <w:sz w:val="20"/>
                <w:szCs w:val="20"/>
              </w:rPr>
            </w:pPr>
          </w:p>
        </w:tc>
        <w:tc>
          <w:tcPr>
            <w:tcW w:w="913" w:type="dxa"/>
            <w:gridSpan w:val="2"/>
            <w:tcBorders>
              <w:top w:val="nil"/>
              <w:left w:val="nil"/>
              <w:bottom w:val="nil"/>
              <w:right w:val="nil"/>
            </w:tcBorders>
          </w:tcPr>
          <w:p w14:paraId="117823ED" w14:textId="77777777" w:rsidR="00962D9E" w:rsidRPr="00BD79C4" w:rsidRDefault="00962D9E" w:rsidP="00962D9E">
            <w:pPr>
              <w:pStyle w:val="Akapitzlist"/>
              <w:spacing w:before="30" w:after="0" w:line="240" w:lineRule="auto"/>
              <w:ind w:left="0"/>
              <w:jc w:val="both"/>
              <w:rPr>
                <w:rFonts w:cs="Arial"/>
                <w:sz w:val="20"/>
                <w:szCs w:val="20"/>
              </w:rPr>
            </w:pPr>
          </w:p>
        </w:tc>
        <w:tc>
          <w:tcPr>
            <w:tcW w:w="5041" w:type="dxa"/>
            <w:gridSpan w:val="3"/>
            <w:tcBorders>
              <w:top w:val="nil"/>
              <w:left w:val="nil"/>
              <w:bottom w:val="nil"/>
              <w:right w:val="nil"/>
            </w:tcBorders>
            <w:vAlign w:val="bottom"/>
          </w:tcPr>
          <w:p w14:paraId="490704C1" w14:textId="77777777" w:rsidR="00962D9E" w:rsidRPr="00BD79C4" w:rsidRDefault="00962D9E" w:rsidP="00962D9E">
            <w:pPr>
              <w:pStyle w:val="Akapitzlist"/>
              <w:spacing w:before="30" w:after="0" w:line="240" w:lineRule="auto"/>
              <w:ind w:left="0"/>
              <w:jc w:val="center"/>
              <w:rPr>
                <w:rFonts w:cs="Arial"/>
                <w:b/>
                <w:sz w:val="20"/>
                <w:szCs w:val="20"/>
              </w:rPr>
            </w:pPr>
            <w:r w:rsidRPr="00BD79C4">
              <w:rPr>
                <w:rFonts w:cs="Arial"/>
                <w:b/>
                <w:sz w:val="20"/>
                <w:szCs w:val="20"/>
              </w:rPr>
              <w:t>……………………………………………</w:t>
            </w:r>
          </w:p>
        </w:tc>
        <w:tc>
          <w:tcPr>
            <w:tcW w:w="907" w:type="dxa"/>
            <w:tcBorders>
              <w:top w:val="nil"/>
              <w:left w:val="nil"/>
              <w:bottom w:val="nil"/>
              <w:right w:val="nil"/>
            </w:tcBorders>
          </w:tcPr>
          <w:p w14:paraId="2D4E344C" w14:textId="77777777" w:rsidR="00962D9E" w:rsidRPr="00BD79C4" w:rsidRDefault="00962D9E" w:rsidP="00962D9E">
            <w:pPr>
              <w:pStyle w:val="Akapitzlist"/>
              <w:spacing w:before="30" w:after="0" w:line="240" w:lineRule="auto"/>
              <w:ind w:left="0"/>
              <w:jc w:val="both"/>
              <w:rPr>
                <w:rFonts w:cs="Arial"/>
                <w:b/>
                <w:sz w:val="20"/>
                <w:szCs w:val="20"/>
              </w:rPr>
            </w:pPr>
          </w:p>
        </w:tc>
      </w:tr>
    </w:tbl>
    <w:p w14:paraId="427F23F6" w14:textId="77777777" w:rsidR="00AD43F8" w:rsidRPr="00BD79C4" w:rsidRDefault="00AD43F8">
      <w:pPr>
        <w:spacing w:line="240" w:lineRule="auto"/>
        <w:rPr>
          <w:rFonts w:cs="Arial"/>
          <w:b/>
          <w:sz w:val="20"/>
          <w:szCs w:val="20"/>
        </w:rPr>
      </w:pPr>
    </w:p>
    <w:sectPr w:rsidR="00AD43F8" w:rsidRPr="00BD79C4">
      <w:pgSz w:w="11906" w:h="16838"/>
      <w:pgMar w:top="964" w:right="624"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0AA97" w14:textId="77777777" w:rsidR="00713B34" w:rsidRDefault="00713B34">
      <w:pPr>
        <w:spacing w:line="240" w:lineRule="auto"/>
      </w:pPr>
      <w:r>
        <w:separator/>
      </w:r>
    </w:p>
  </w:endnote>
  <w:endnote w:type="continuationSeparator" w:id="0">
    <w:p w14:paraId="47888A98" w14:textId="77777777" w:rsidR="00713B34" w:rsidRDefault="00713B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Yu Gothic"/>
    <w:charset w:val="80"/>
    <w:family w:val="auto"/>
    <w:pitch w:val="default"/>
  </w:font>
  <w:font w:name="OpenSymbol">
    <w:altName w:val="Calibri"/>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Helv">
    <w:panose1 w:val="020B0604020202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96A28" w14:textId="77777777" w:rsidR="00713B34" w:rsidRDefault="00713B34">
      <w:pPr>
        <w:spacing w:after="0"/>
      </w:pPr>
      <w:r>
        <w:separator/>
      </w:r>
    </w:p>
  </w:footnote>
  <w:footnote w:type="continuationSeparator" w:id="0">
    <w:p w14:paraId="1DB44B2A" w14:textId="77777777" w:rsidR="00713B34" w:rsidRDefault="00713B34">
      <w:pPr>
        <w:spacing w:after="0"/>
      </w:pPr>
      <w:r>
        <w:continuationSeparator/>
      </w:r>
    </w:p>
  </w:footnote>
  <w:footnote w:id="1">
    <w:p w14:paraId="57D60F0C" w14:textId="77777777" w:rsidR="00AD43F8" w:rsidRDefault="00000000">
      <w:pPr>
        <w:pStyle w:val="Tekstprzypisudolnego"/>
      </w:pPr>
      <w:r>
        <w:rPr>
          <w:rStyle w:val="Odwoanieprzypisudolnego"/>
        </w:rPr>
        <w:footnoteRef/>
      </w:r>
      <w:r>
        <w:t xml:space="preserve"> Jeżeli działka nie posiada adresu, należy opisowo określić jej położenie.</w:t>
      </w:r>
    </w:p>
  </w:footnote>
  <w:footnote w:id="2">
    <w:p w14:paraId="4A0C1813" w14:textId="77777777" w:rsidR="00962D9E" w:rsidRDefault="00962D9E">
      <w:pPr>
        <w:pStyle w:val="Tekstprzypisudolnego"/>
      </w:pPr>
      <w:r>
        <w:rPr>
          <w:rStyle w:val="Odwoanieprzypisudolnego"/>
        </w:rPr>
        <w:footnoteRef/>
      </w:r>
      <w:r>
        <w:t xml:space="preserve"> W szczególności imię i nazwisko albo firma właściciela lub użytkownika wieczystego oraz istniejące obciążenia na nieruchomości.</w:t>
      </w:r>
    </w:p>
  </w:footnote>
  <w:footnote w:id="3">
    <w:p w14:paraId="4D046D23" w14:textId="77777777" w:rsidR="00962D9E" w:rsidRDefault="00962D9E">
      <w:pPr>
        <w:pStyle w:val="Tekstprzypisudolnego"/>
      </w:pPr>
      <w:r>
        <w:rPr>
          <w:rStyle w:val="Odwoanieprzypisudolnego"/>
        </w:rPr>
        <w:footnoteRef/>
      </w:r>
      <w:r>
        <w:t xml:space="preserve">  W szczególności obiekty generujące uciążliwości zapachowe, hałasowe, świetlne.</w:t>
      </w:r>
    </w:p>
  </w:footnote>
  <w:footnote w:id="4">
    <w:p w14:paraId="3DDBC88F" w14:textId="77777777" w:rsidR="00962D9E" w:rsidRDefault="00962D9E">
      <w:pPr>
        <w:pStyle w:val="Tekstprzypisudolnego"/>
      </w:pPr>
      <w:r>
        <w:rPr>
          <w:rStyle w:val="Odwoanieprzypisudolnego"/>
        </w:rPr>
        <w:footnoteRef/>
      </w:r>
      <w:r>
        <w:t xml:space="preserve"> Akty prawne (rozporządzenia, zarządzenia, uchwały ,decyzje) w sprawie:</w:t>
      </w:r>
    </w:p>
    <w:p w14:paraId="33A9DE8E" w14:textId="77777777" w:rsidR="00962D9E" w:rsidRDefault="00962D9E">
      <w:pPr>
        <w:pStyle w:val="Tekstprzypisudolnego"/>
        <w:numPr>
          <w:ilvl w:val="0"/>
          <w:numId w:val="1"/>
        </w:numPr>
      </w:pPr>
      <w:r>
        <w:t>Dokonania rezerwacji obszaru inwestycji (Centralny Port Komunikacyjny),</w:t>
      </w:r>
    </w:p>
    <w:p w14:paraId="16CBC7CD" w14:textId="77777777" w:rsidR="00962D9E" w:rsidRDefault="00962D9E">
      <w:pPr>
        <w:pStyle w:val="Tekstprzypisudolnego"/>
        <w:numPr>
          <w:ilvl w:val="0"/>
          <w:numId w:val="1"/>
        </w:numPr>
      </w:pPr>
      <w:r>
        <w:t>Lokalizacji inwestycji mieszkaniowej lub inwestycji towarzyszącej,</w:t>
      </w:r>
    </w:p>
    <w:p w14:paraId="22BCD1A0" w14:textId="77777777" w:rsidR="00962D9E" w:rsidRDefault="00962D9E">
      <w:pPr>
        <w:pStyle w:val="Tekstprzypisudolnego"/>
        <w:numPr>
          <w:ilvl w:val="0"/>
          <w:numId w:val="1"/>
        </w:numPr>
      </w:pPr>
      <w:r>
        <w:t>Ustanowienia form ochrony przyrody lub ich otulin (parku narodowego, rezerwatu przyrody, parku krajobrazowego, obszaru chronionego krajobrazu, obszaru Natura 2000, pomnika przyrody, stanowiska dokumentacyjnego, użytku ekologicznego, zespołu przyrodniczo- krajobrazowego, ochrony gatunkowej roślin, zwierząt i grzybów),</w:t>
      </w:r>
    </w:p>
    <w:p w14:paraId="40C2ABE9" w14:textId="77777777" w:rsidR="00962D9E" w:rsidRDefault="00962D9E">
      <w:pPr>
        <w:pStyle w:val="Tekstprzypisudolnego"/>
        <w:numPr>
          <w:ilvl w:val="0"/>
          <w:numId w:val="1"/>
        </w:numPr>
      </w:pPr>
      <w:r>
        <w:t xml:space="preserve">Ustanowienia strefy ochronnej terenu ochrony bezpośredniej i terenu ochrony pośredniej ujęcia wody, </w:t>
      </w:r>
    </w:p>
    <w:p w14:paraId="0749D9BF" w14:textId="77777777" w:rsidR="00962D9E" w:rsidRDefault="00962D9E">
      <w:pPr>
        <w:pStyle w:val="Tekstprzypisudolnego"/>
        <w:numPr>
          <w:ilvl w:val="0"/>
          <w:numId w:val="1"/>
        </w:numPr>
      </w:pPr>
      <w:r>
        <w:t>Wyznaczenia obszarów cichych w aglomeracji lub obszarów cichych poza aglomeracją,</w:t>
      </w:r>
    </w:p>
    <w:p w14:paraId="37332E88" w14:textId="77777777" w:rsidR="00962D9E" w:rsidRDefault="00962D9E">
      <w:pPr>
        <w:pStyle w:val="Tekstprzypisudolnego"/>
        <w:numPr>
          <w:ilvl w:val="0"/>
          <w:numId w:val="1"/>
        </w:numPr>
      </w:pPr>
      <w:r>
        <w:t>Utworzenie obszaru ograniczonego użytkowania,</w:t>
      </w:r>
    </w:p>
    <w:p w14:paraId="418CEF72" w14:textId="77777777" w:rsidR="00962D9E" w:rsidRDefault="00962D9E">
      <w:pPr>
        <w:pStyle w:val="Tekstprzypisudolnego"/>
        <w:numPr>
          <w:ilvl w:val="0"/>
          <w:numId w:val="1"/>
        </w:numPr>
      </w:pPr>
      <w:r>
        <w:t>Uznania zabytku za pomnik historii,</w:t>
      </w:r>
    </w:p>
    <w:p w14:paraId="56CAD2A9" w14:textId="77777777" w:rsidR="00962D9E" w:rsidRDefault="00962D9E">
      <w:pPr>
        <w:pStyle w:val="Tekstprzypisudolnego"/>
        <w:numPr>
          <w:ilvl w:val="0"/>
          <w:numId w:val="1"/>
        </w:numPr>
      </w:pPr>
      <w:r>
        <w:t>Określenia granic obszaru Pomnika Zagłady i jego strefy ochronnej, utworzenie parku kulturowego,</w:t>
      </w:r>
    </w:p>
    <w:p w14:paraId="3E008CF7" w14:textId="77777777" w:rsidR="00962D9E" w:rsidRDefault="00962D9E">
      <w:pPr>
        <w:pStyle w:val="Tekstprzypisudolnego"/>
        <w:numPr>
          <w:ilvl w:val="0"/>
          <w:numId w:val="1"/>
        </w:numPr>
      </w:pPr>
      <w:r>
        <w:t>Ustalenia zasad i warunków sytuowania obiektów małej architektury, tablic reklamowych oraz ogrodzeń, ich gabarytów, standardów jakościowych oraz rodzajów materiałów budowlanych.</w:t>
      </w:r>
    </w:p>
  </w:footnote>
  <w:footnote w:id="5">
    <w:p w14:paraId="362CA4F7" w14:textId="77777777" w:rsidR="00962D9E" w:rsidRDefault="00962D9E">
      <w:pPr>
        <w:pStyle w:val="Tekstprzypisudolnego"/>
      </w:pPr>
      <w:r>
        <w:rPr>
          <w:rStyle w:val="Odwoanieprzypisudolnego"/>
        </w:rPr>
        <w:footnoteRef/>
      </w:r>
      <w:r>
        <w:t xml:space="preserve"> W przypadku braku miejscowego planu zagospodarowania przestrzennego umieszcza się informację „ Brak planu”</w:t>
      </w:r>
    </w:p>
  </w:footnote>
  <w:footnote w:id="6">
    <w:p w14:paraId="69C16B46" w14:textId="77777777" w:rsidR="00962D9E" w:rsidRDefault="00962D9E">
      <w:pPr>
        <w:pStyle w:val="Tekstprzypisudolnego"/>
      </w:pPr>
      <w:r>
        <w:rPr>
          <w:rStyle w:val="Odwoanieprzypisudolnego"/>
        </w:rPr>
        <w:footnoteRef/>
      </w:r>
      <w:r>
        <w:t xml:space="preserve"> Wskazanie inwestycji dotyczą w szczególności: budowy i rozbudowy dróg, budowy linii szynowych oraz przewidzianych korytarzy powietrznych, inwestycji komunalnych, takich jak: oczyszczalnie ścieków, spalarnie śmieci, wysypiska cmentarze</w:t>
      </w:r>
    </w:p>
  </w:footnote>
  <w:footnote w:id="7">
    <w:p w14:paraId="3C3D4A93" w14:textId="77777777" w:rsidR="00962D9E" w:rsidRDefault="00962D9E">
      <w:pPr>
        <w:pStyle w:val="Tekstprzypisudolnego"/>
      </w:pPr>
      <w:r>
        <w:rPr>
          <w:rStyle w:val="Odwoanieprzypisudolnego"/>
        </w:rPr>
        <w:footnoteRef/>
      </w:r>
      <w:r>
        <w:t xml:space="preserve"> Zgodnie z art.49 ust, 6 ustawy z dnia 20 maja 2021 r. o ochronie praw nabywcy lokalu mieszkalnego lub domu jednorodzinnego oraz Deweloperskim Funduszu Gwarancyjnym ( Dz. U. poz. 1177)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49 ust. 8 z dnia 20 maja 2021r. o ochronie nabywcy lokalu mieszkalnego lub jednorodzinnego oraz Deweloperskim Funduszu Gwarancyjnym.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lvl w:ilvl="0">
      <w:start w:val="1"/>
      <w:numFmt w:val="bullet"/>
      <w:lvlText w:val=""/>
      <w:lvlJc w:val="left"/>
      <w:pPr>
        <w:tabs>
          <w:tab w:val="left" w:pos="720"/>
        </w:tabs>
        <w:ind w:left="720" w:hanging="360"/>
      </w:pPr>
      <w:rPr>
        <w:rFonts w:ascii="Symbol" w:hAnsi="Symbol" w:cs="StarSymbol"/>
        <w:sz w:val="18"/>
        <w:szCs w:val="18"/>
      </w:rPr>
    </w:lvl>
    <w:lvl w:ilvl="1">
      <w:start w:val="1"/>
      <w:numFmt w:val="bullet"/>
      <w:lvlText w:val="◦"/>
      <w:lvlJc w:val="left"/>
      <w:pPr>
        <w:tabs>
          <w:tab w:val="left" w:pos="1080"/>
        </w:tabs>
        <w:ind w:left="1080" w:hanging="360"/>
      </w:pPr>
      <w:rPr>
        <w:rFonts w:ascii="OpenSymbol" w:hAnsi="OpenSymbol" w:cs="StarSymbol"/>
        <w:sz w:val="18"/>
        <w:szCs w:val="18"/>
      </w:rPr>
    </w:lvl>
    <w:lvl w:ilvl="2">
      <w:start w:val="1"/>
      <w:numFmt w:val="bullet"/>
      <w:lvlText w:val="▪"/>
      <w:lvlJc w:val="left"/>
      <w:pPr>
        <w:tabs>
          <w:tab w:val="left" w:pos="1440"/>
        </w:tabs>
        <w:ind w:left="1440" w:hanging="360"/>
      </w:pPr>
      <w:rPr>
        <w:rFonts w:ascii="OpenSymbol" w:hAnsi="OpenSymbol" w:cs="StarSymbol"/>
        <w:sz w:val="18"/>
        <w:szCs w:val="18"/>
      </w:rPr>
    </w:lvl>
    <w:lvl w:ilvl="3">
      <w:start w:val="1"/>
      <w:numFmt w:val="bullet"/>
      <w:lvlText w:val=""/>
      <w:lvlJc w:val="left"/>
      <w:pPr>
        <w:tabs>
          <w:tab w:val="left" w:pos="1800"/>
        </w:tabs>
        <w:ind w:left="1800" w:hanging="360"/>
      </w:pPr>
      <w:rPr>
        <w:rFonts w:ascii="Symbol" w:hAnsi="Symbol" w:cs="StarSymbol"/>
        <w:sz w:val="18"/>
        <w:szCs w:val="18"/>
      </w:rPr>
    </w:lvl>
    <w:lvl w:ilvl="4">
      <w:start w:val="1"/>
      <w:numFmt w:val="bullet"/>
      <w:lvlText w:val="◦"/>
      <w:lvlJc w:val="left"/>
      <w:pPr>
        <w:tabs>
          <w:tab w:val="left" w:pos="2160"/>
        </w:tabs>
        <w:ind w:left="2160" w:hanging="360"/>
      </w:pPr>
      <w:rPr>
        <w:rFonts w:ascii="OpenSymbol" w:hAnsi="OpenSymbol" w:cs="StarSymbol"/>
        <w:sz w:val="18"/>
        <w:szCs w:val="18"/>
      </w:rPr>
    </w:lvl>
    <w:lvl w:ilvl="5">
      <w:start w:val="1"/>
      <w:numFmt w:val="bullet"/>
      <w:lvlText w:val="▪"/>
      <w:lvlJc w:val="left"/>
      <w:pPr>
        <w:tabs>
          <w:tab w:val="left" w:pos="2520"/>
        </w:tabs>
        <w:ind w:left="2520" w:hanging="360"/>
      </w:pPr>
      <w:rPr>
        <w:rFonts w:ascii="OpenSymbol" w:hAnsi="OpenSymbol" w:cs="StarSymbol"/>
        <w:sz w:val="18"/>
        <w:szCs w:val="18"/>
      </w:rPr>
    </w:lvl>
    <w:lvl w:ilvl="6">
      <w:start w:val="1"/>
      <w:numFmt w:val="bullet"/>
      <w:lvlText w:val=""/>
      <w:lvlJc w:val="left"/>
      <w:pPr>
        <w:tabs>
          <w:tab w:val="left" w:pos="2880"/>
        </w:tabs>
        <w:ind w:left="2880" w:hanging="360"/>
      </w:pPr>
      <w:rPr>
        <w:rFonts w:ascii="Symbol" w:hAnsi="Symbol" w:cs="StarSymbol"/>
        <w:sz w:val="18"/>
        <w:szCs w:val="18"/>
      </w:rPr>
    </w:lvl>
    <w:lvl w:ilvl="7">
      <w:start w:val="1"/>
      <w:numFmt w:val="bullet"/>
      <w:lvlText w:val="◦"/>
      <w:lvlJc w:val="left"/>
      <w:pPr>
        <w:tabs>
          <w:tab w:val="left" w:pos="3240"/>
        </w:tabs>
        <w:ind w:left="3240" w:hanging="360"/>
      </w:pPr>
      <w:rPr>
        <w:rFonts w:ascii="OpenSymbol" w:hAnsi="OpenSymbol" w:cs="StarSymbol"/>
        <w:sz w:val="18"/>
        <w:szCs w:val="18"/>
      </w:rPr>
    </w:lvl>
    <w:lvl w:ilvl="8">
      <w:start w:val="1"/>
      <w:numFmt w:val="bullet"/>
      <w:lvlText w:val="▪"/>
      <w:lvlJc w:val="left"/>
      <w:pPr>
        <w:tabs>
          <w:tab w:val="left" w:pos="3600"/>
        </w:tabs>
        <w:ind w:left="3600" w:hanging="360"/>
      </w:pPr>
      <w:rPr>
        <w:rFonts w:ascii="OpenSymbol" w:hAnsi="OpenSymbol" w:cs="StarSymbol"/>
        <w:sz w:val="18"/>
        <w:szCs w:val="18"/>
      </w:rPr>
    </w:lvl>
  </w:abstractNum>
  <w:abstractNum w:abstractNumId="1" w15:restartNumberingAfterBreak="0">
    <w:nsid w:val="051E08CF"/>
    <w:multiLevelType w:val="multilevel"/>
    <w:tmpl w:val="051E08C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B330CE"/>
    <w:multiLevelType w:val="multilevel"/>
    <w:tmpl w:val="06B330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FE69D2"/>
    <w:multiLevelType w:val="multilevel"/>
    <w:tmpl w:val="06FE69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7073D3F"/>
    <w:multiLevelType w:val="multilevel"/>
    <w:tmpl w:val="07073D3F"/>
    <w:lvl w:ilvl="0">
      <w:start w:val="26"/>
      <w:numFmt w:val="bullet"/>
      <w:lvlText w:val=""/>
      <w:lvlJc w:val="left"/>
      <w:pPr>
        <w:ind w:left="380" w:hanging="360"/>
      </w:pPr>
      <w:rPr>
        <w:rFonts w:ascii="Symbol" w:eastAsiaTheme="minorEastAsia" w:hAnsi="Symbol" w:cs="Arial" w:hint="default"/>
      </w:rPr>
    </w:lvl>
    <w:lvl w:ilvl="1">
      <w:start w:val="1"/>
      <w:numFmt w:val="bullet"/>
      <w:lvlText w:val="o"/>
      <w:lvlJc w:val="left"/>
      <w:pPr>
        <w:ind w:left="1100" w:hanging="360"/>
      </w:pPr>
      <w:rPr>
        <w:rFonts w:ascii="Courier New" w:hAnsi="Courier New" w:cs="Courier New" w:hint="default"/>
      </w:rPr>
    </w:lvl>
    <w:lvl w:ilvl="2">
      <w:start w:val="1"/>
      <w:numFmt w:val="bullet"/>
      <w:lvlText w:val=""/>
      <w:lvlJc w:val="left"/>
      <w:pPr>
        <w:ind w:left="1820" w:hanging="360"/>
      </w:pPr>
      <w:rPr>
        <w:rFonts w:ascii="Wingdings" w:hAnsi="Wingdings" w:hint="default"/>
      </w:rPr>
    </w:lvl>
    <w:lvl w:ilvl="3">
      <w:start w:val="1"/>
      <w:numFmt w:val="bullet"/>
      <w:lvlText w:val=""/>
      <w:lvlJc w:val="left"/>
      <w:pPr>
        <w:ind w:left="2540" w:hanging="360"/>
      </w:pPr>
      <w:rPr>
        <w:rFonts w:ascii="Symbol" w:hAnsi="Symbol" w:hint="default"/>
      </w:rPr>
    </w:lvl>
    <w:lvl w:ilvl="4">
      <w:start w:val="1"/>
      <w:numFmt w:val="bullet"/>
      <w:lvlText w:val="o"/>
      <w:lvlJc w:val="left"/>
      <w:pPr>
        <w:ind w:left="3260" w:hanging="360"/>
      </w:pPr>
      <w:rPr>
        <w:rFonts w:ascii="Courier New" w:hAnsi="Courier New" w:cs="Courier New" w:hint="default"/>
      </w:rPr>
    </w:lvl>
    <w:lvl w:ilvl="5">
      <w:start w:val="1"/>
      <w:numFmt w:val="bullet"/>
      <w:lvlText w:val=""/>
      <w:lvlJc w:val="left"/>
      <w:pPr>
        <w:ind w:left="3980" w:hanging="360"/>
      </w:pPr>
      <w:rPr>
        <w:rFonts w:ascii="Wingdings" w:hAnsi="Wingdings" w:hint="default"/>
      </w:rPr>
    </w:lvl>
    <w:lvl w:ilvl="6">
      <w:start w:val="1"/>
      <w:numFmt w:val="bullet"/>
      <w:lvlText w:val=""/>
      <w:lvlJc w:val="left"/>
      <w:pPr>
        <w:ind w:left="4700" w:hanging="360"/>
      </w:pPr>
      <w:rPr>
        <w:rFonts w:ascii="Symbol" w:hAnsi="Symbol" w:hint="default"/>
      </w:rPr>
    </w:lvl>
    <w:lvl w:ilvl="7">
      <w:start w:val="1"/>
      <w:numFmt w:val="bullet"/>
      <w:lvlText w:val="o"/>
      <w:lvlJc w:val="left"/>
      <w:pPr>
        <w:ind w:left="5420" w:hanging="360"/>
      </w:pPr>
      <w:rPr>
        <w:rFonts w:ascii="Courier New" w:hAnsi="Courier New" w:cs="Courier New" w:hint="default"/>
      </w:rPr>
    </w:lvl>
    <w:lvl w:ilvl="8">
      <w:start w:val="1"/>
      <w:numFmt w:val="bullet"/>
      <w:lvlText w:val=""/>
      <w:lvlJc w:val="left"/>
      <w:pPr>
        <w:ind w:left="6140" w:hanging="360"/>
      </w:pPr>
      <w:rPr>
        <w:rFonts w:ascii="Wingdings" w:hAnsi="Wingdings" w:hint="default"/>
      </w:rPr>
    </w:lvl>
  </w:abstractNum>
  <w:abstractNum w:abstractNumId="5" w15:restartNumberingAfterBreak="0">
    <w:nsid w:val="13316C30"/>
    <w:multiLevelType w:val="multilevel"/>
    <w:tmpl w:val="13316C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5335EF"/>
    <w:multiLevelType w:val="multilevel"/>
    <w:tmpl w:val="155335EF"/>
    <w:lvl w:ilvl="0">
      <w:start w:val="26"/>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F24C3"/>
    <w:multiLevelType w:val="multilevel"/>
    <w:tmpl w:val="1D9F24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2C3B74"/>
    <w:multiLevelType w:val="multilevel"/>
    <w:tmpl w:val="212C3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334822"/>
    <w:multiLevelType w:val="multilevel"/>
    <w:tmpl w:val="213348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3F3E52"/>
    <w:multiLevelType w:val="multilevel"/>
    <w:tmpl w:val="2B3F3E5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8F25AA"/>
    <w:multiLevelType w:val="multilevel"/>
    <w:tmpl w:val="308F25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3E5515F"/>
    <w:multiLevelType w:val="multilevel"/>
    <w:tmpl w:val="53E5515F"/>
    <w:lvl w:ilvl="0">
      <w:start w:val="1"/>
      <w:numFmt w:val="bullet"/>
      <w:lvlText w:val=""/>
      <w:lvlJc w:val="left"/>
      <w:pPr>
        <w:tabs>
          <w:tab w:val="left" w:pos="720"/>
        </w:tabs>
        <w:ind w:left="720" w:hanging="360"/>
      </w:pPr>
      <w:rPr>
        <w:rFonts w:ascii="Symbol" w:hAnsi="Symbol" w:hint="default"/>
        <w:sz w:val="18"/>
        <w:szCs w:val="18"/>
      </w:rPr>
    </w:lvl>
    <w:lvl w:ilvl="1">
      <w:start w:val="1"/>
      <w:numFmt w:val="bullet"/>
      <w:lvlText w:val="◦"/>
      <w:lvlJc w:val="left"/>
      <w:pPr>
        <w:tabs>
          <w:tab w:val="left" w:pos="1080"/>
        </w:tabs>
        <w:ind w:left="1080" w:hanging="360"/>
      </w:pPr>
      <w:rPr>
        <w:rFonts w:ascii="OpenSymbol" w:hAnsi="OpenSymbol" w:cs="StarSymbol"/>
        <w:sz w:val="18"/>
        <w:szCs w:val="18"/>
      </w:rPr>
    </w:lvl>
    <w:lvl w:ilvl="2">
      <w:start w:val="1"/>
      <w:numFmt w:val="bullet"/>
      <w:lvlText w:val="▪"/>
      <w:lvlJc w:val="left"/>
      <w:pPr>
        <w:tabs>
          <w:tab w:val="left" w:pos="1440"/>
        </w:tabs>
        <w:ind w:left="1440" w:hanging="360"/>
      </w:pPr>
      <w:rPr>
        <w:rFonts w:ascii="OpenSymbol" w:hAnsi="OpenSymbol" w:cs="StarSymbol"/>
        <w:sz w:val="18"/>
        <w:szCs w:val="18"/>
      </w:rPr>
    </w:lvl>
    <w:lvl w:ilvl="3">
      <w:start w:val="1"/>
      <w:numFmt w:val="bullet"/>
      <w:lvlText w:val=""/>
      <w:lvlJc w:val="left"/>
      <w:pPr>
        <w:tabs>
          <w:tab w:val="left" w:pos="1800"/>
        </w:tabs>
        <w:ind w:left="1800" w:hanging="360"/>
      </w:pPr>
      <w:rPr>
        <w:rFonts w:ascii="Symbol" w:hAnsi="Symbol" w:cs="StarSymbol"/>
        <w:sz w:val="18"/>
        <w:szCs w:val="18"/>
      </w:rPr>
    </w:lvl>
    <w:lvl w:ilvl="4">
      <w:start w:val="1"/>
      <w:numFmt w:val="bullet"/>
      <w:lvlText w:val="◦"/>
      <w:lvlJc w:val="left"/>
      <w:pPr>
        <w:tabs>
          <w:tab w:val="left" w:pos="2160"/>
        </w:tabs>
        <w:ind w:left="2160" w:hanging="360"/>
      </w:pPr>
      <w:rPr>
        <w:rFonts w:ascii="OpenSymbol" w:hAnsi="OpenSymbol" w:cs="StarSymbol"/>
        <w:sz w:val="18"/>
        <w:szCs w:val="18"/>
      </w:rPr>
    </w:lvl>
    <w:lvl w:ilvl="5">
      <w:start w:val="1"/>
      <w:numFmt w:val="bullet"/>
      <w:lvlText w:val="▪"/>
      <w:lvlJc w:val="left"/>
      <w:pPr>
        <w:tabs>
          <w:tab w:val="left" w:pos="2520"/>
        </w:tabs>
        <w:ind w:left="2520" w:hanging="360"/>
      </w:pPr>
      <w:rPr>
        <w:rFonts w:ascii="OpenSymbol" w:hAnsi="OpenSymbol" w:cs="StarSymbol"/>
        <w:sz w:val="18"/>
        <w:szCs w:val="18"/>
      </w:rPr>
    </w:lvl>
    <w:lvl w:ilvl="6">
      <w:start w:val="1"/>
      <w:numFmt w:val="bullet"/>
      <w:lvlText w:val=""/>
      <w:lvlJc w:val="left"/>
      <w:pPr>
        <w:tabs>
          <w:tab w:val="left" w:pos="2880"/>
        </w:tabs>
        <w:ind w:left="2880" w:hanging="360"/>
      </w:pPr>
      <w:rPr>
        <w:rFonts w:ascii="Symbol" w:hAnsi="Symbol" w:cs="StarSymbol"/>
        <w:sz w:val="18"/>
        <w:szCs w:val="18"/>
      </w:rPr>
    </w:lvl>
    <w:lvl w:ilvl="7">
      <w:start w:val="1"/>
      <w:numFmt w:val="bullet"/>
      <w:lvlText w:val="◦"/>
      <w:lvlJc w:val="left"/>
      <w:pPr>
        <w:tabs>
          <w:tab w:val="left" w:pos="3240"/>
        </w:tabs>
        <w:ind w:left="3240" w:hanging="360"/>
      </w:pPr>
      <w:rPr>
        <w:rFonts w:ascii="OpenSymbol" w:hAnsi="OpenSymbol" w:cs="StarSymbol"/>
        <w:sz w:val="18"/>
        <w:szCs w:val="18"/>
      </w:rPr>
    </w:lvl>
    <w:lvl w:ilvl="8">
      <w:start w:val="1"/>
      <w:numFmt w:val="bullet"/>
      <w:lvlText w:val="▪"/>
      <w:lvlJc w:val="left"/>
      <w:pPr>
        <w:tabs>
          <w:tab w:val="left" w:pos="3600"/>
        </w:tabs>
        <w:ind w:left="3600" w:hanging="360"/>
      </w:pPr>
      <w:rPr>
        <w:rFonts w:ascii="OpenSymbol" w:hAnsi="OpenSymbol" w:cs="StarSymbol"/>
        <w:sz w:val="18"/>
        <w:szCs w:val="18"/>
      </w:rPr>
    </w:lvl>
  </w:abstractNum>
  <w:abstractNum w:abstractNumId="13" w15:restartNumberingAfterBreak="0">
    <w:nsid w:val="68293177"/>
    <w:multiLevelType w:val="multilevel"/>
    <w:tmpl w:val="682931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8653F2D"/>
    <w:multiLevelType w:val="multilevel"/>
    <w:tmpl w:val="68653F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89D206E"/>
    <w:multiLevelType w:val="multilevel"/>
    <w:tmpl w:val="689D20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8D42736"/>
    <w:multiLevelType w:val="multilevel"/>
    <w:tmpl w:val="78D427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A2478C7"/>
    <w:multiLevelType w:val="multilevel"/>
    <w:tmpl w:val="7A2478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E9E3CA9"/>
    <w:multiLevelType w:val="multilevel"/>
    <w:tmpl w:val="7E9E3CA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92160263">
    <w:abstractNumId w:val="16"/>
  </w:num>
  <w:num w:numId="2" w16cid:durableId="922181988">
    <w:abstractNumId w:val="10"/>
  </w:num>
  <w:num w:numId="3" w16cid:durableId="329524857">
    <w:abstractNumId w:val="4"/>
  </w:num>
  <w:num w:numId="4" w16cid:durableId="1844120793">
    <w:abstractNumId w:val="6"/>
  </w:num>
  <w:num w:numId="5" w16cid:durableId="942608899">
    <w:abstractNumId w:val="0"/>
  </w:num>
  <w:num w:numId="6" w16cid:durableId="1314062442">
    <w:abstractNumId w:val="12"/>
  </w:num>
  <w:num w:numId="7" w16cid:durableId="1134106001">
    <w:abstractNumId w:val="1"/>
  </w:num>
  <w:num w:numId="8" w16cid:durableId="1918903122">
    <w:abstractNumId w:val="3"/>
  </w:num>
  <w:num w:numId="9" w16cid:durableId="549923234">
    <w:abstractNumId w:val="2"/>
  </w:num>
  <w:num w:numId="10" w16cid:durableId="2020153098">
    <w:abstractNumId w:val="17"/>
  </w:num>
  <w:num w:numId="11" w16cid:durableId="1507328211">
    <w:abstractNumId w:val="15"/>
  </w:num>
  <w:num w:numId="12" w16cid:durableId="1452093400">
    <w:abstractNumId w:val="5"/>
  </w:num>
  <w:num w:numId="13" w16cid:durableId="1453553586">
    <w:abstractNumId w:val="11"/>
  </w:num>
  <w:num w:numId="14" w16cid:durableId="1163204173">
    <w:abstractNumId w:val="7"/>
  </w:num>
  <w:num w:numId="15" w16cid:durableId="283390193">
    <w:abstractNumId w:val="9"/>
  </w:num>
  <w:num w:numId="16" w16cid:durableId="1717972758">
    <w:abstractNumId w:val="14"/>
  </w:num>
  <w:num w:numId="17" w16cid:durableId="929044427">
    <w:abstractNumId w:val="8"/>
  </w:num>
  <w:num w:numId="18" w16cid:durableId="976564824">
    <w:abstractNumId w:val="13"/>
  </w:num>
  <w:num w:numId="19" w16cid:durableId="7163169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858"/>
    <w:rsid w:val="000000AA"/>
    <w:rsid w:val="00002C9F"/>
    <w:rsid w:val="00004025"/>
    <w:rsid w:val="0000613D"/>
    <w:rsid w:val="00006961"/>
    <w:rsid w:val="00010E73"/>
    <w:rsid w:val="00013464"/>
    <w:rsid w:val="00013BBC"/>
    <w:rsid w:val="000142A5"/>
    <w:rsid w:val="000156DA"/>
    <w:rsid w:val="00020A41"/>
    <w:rsid w:val="00022010"/>
    <w:rsid w:val="00027FC5"/>
    <w:rsid w:val="000366C4"/>
    <w:rsid w:val="000401FB"/>
    <w:rsid w:val="00043C76"/>
    <w:rsid w:val="00046BA3"/>
    <w:rsid w:val="000545C5"/>
    <w:rsid w:val="0005496B"/>
    <w:rsid w:val="00054EFA"/>
    <w:rsid w:val="0005728D"/>
    <w:rsid w:val="00061D4C"/>
    <w:rsid w:val="00063931"/>
    <w:rsid w:val="00064C67"/>
    <w:rsid w:val="000653B2"/>
    <w:rsid w:val="00066416"/>
    <w:rsid w:val="00066A55"/>
    <w:rsid w:val="0007163A"/>
    <w:rsid w:val="00084CDA"/>
    <w:rsid w:val="000862EF"/>
    <w:rsid w:val="00087790"/>
    <w:rsid w:val="000947A1"/>
    <w:rsid w:val="000A1046"/>
    <w:rsid w:val="000A1AE0"/>
    <w:rsid w:val="000A204F"/>
    <w:rsid w:val="000A360D"/>
    <w:rsid w:val="000A5338"/>
    <w:rsid w:val="000A6670"/>
    <w:rsid w:val="000A7210"/>
    <w:rsid w:val="000A726A"/>
    <w:rsid w:val="000B5AE6"/>
    <w:rsid w:val="000C1367"/>
    <w:rsid w:val="000C426F"/>
    <w:rsid w:val="000C4BBD"/>
    <w:rsid w:val="000C75CC"/>
    <w:rsid w:val="000D10A1"/>
    <w:rsid w:val="000D3598"/>
    <w:rsid w:val="000D360B"/>
    <w:rsid w:val="000D4ECC"/>
    <w:rsid w:val="000D627E"/>
    <w:rsid w:val="000D6F0B"/>
    <w:rsid w:val="000E2033"/>
    <w:rsid w:val="000E2229"/>
    <w:rsid w:val="000E512A"/>
    <w:rsid w:val="000E762A"/>
    <w:rsid w:val="000E7B71"/>
    <w:rsid w:val="000E7C07"/>
    <w:rsid w:val="000F1EAD"/>
    <w:rsid w:val="000F40A0"/>
    <w:rsid w:val="000F6BA3"/>
    <w:rsid w:val="000F6FF5"/>
    <w:rsid w:val="00103FCA"/>
    <w:rsid w:val="00104B62"/>
    <w:rsid w:val="00105762"/>
    <w:rsid w:val="0010680D"/>
    <w:rsid w:val="00106A3E"/>
    <w:rsid w:val="00107E7B"/>
    <w:rsid w:val="0011121A"/>
    <w:rsid w:val="00111430"/>
    <w:rsid w:val="00111534"/>
    <w:rsid w:val="00114E9C"/>
    <w:rsid w:val="00115F21"/>
    <w:rsid w:val="00117DCF"/>
    <w:rsid w:val="00121167"/>
    <w:rsid w:val="00121425"/>
    <w:rsid w:val="00122320"/>
    <w:rsid w:val="00122395"/>
    <w:rsid w:val="0012279D"/>
    <w:rsid w:val="001233AF"/>
    <w:rsid w:val="001269BB"/>
    <w:rsid w:val="00127B40"/>
    <w:rsid w:val="00131F1B"/>
    <w:rsid w:val="001365B3"/>
    <w:rsid w:val="001368DF"/>
    <w:rsid w:val="00143716"/>
    <w:rsid w:val="00147FBF"/>
    <w:rsid w:val="00152568"/>
    <w:rsid w:val="00156F73"/>
    <w:rsid w:val="00157975"/>
    <w:rsid w:val="00157DA3"/>
    <w:rsid w:val="00160EA8"/>
    <w:rsid w:val="0016128D"/>
    <w:rsid w:val="00161917"/>
    <w:rsid w:val="00163342"/>
    <w:rsid w:val="001661A9"/>
    <w:rsid w:val="0016713A"/>
    <w:rsid w:val="00167369"/>
    <w:rsid w:val="00170F41"/>
    <w:rsid w:val="00176A76"/>
    <w:rsid w:val="00180AAB"/>
    <w:rsid w:val="00180AFC"/>
    <w:rsid w:val="0018193D"/>
    <w:rsid w:val="00183427"/>
    <w:rsid w:val="00184945"/>
    <w:rsid w:val="00186058"/>
    <w:rsid w:val="00186872"/>
    <w:rsid w:val="0018698C"/>
    <w:rsid w:val="00192552"/>
    <w:rsid w:val="001A0005"/>
    <w:rsid w:val="001A31CA"/>
    <w:rsid w:val="001A6E79"/>
    <w:rsid w:val="001B2C07"/>
    <w:rsid w:val="001B6D57"/>
    <w:rsid w:val="001C0C87"/>
    <w:rsid w:val="001C21CC"/>
    <w:rsid w:val="001C30E3"/>
    <w:rsid w:val="001C49A8"/>
    <w:rsid w:val="001C6B88"/>
    <w:rsid w:val="001D1617"/>
    <w:rsid w:val="001D3BB8"/>
    <w:rsid w:val="001E03A8"/>
    <w:rsid w:val="001E19D6"/>
    <w:rsid w:val="001E260C"/>
    <w:rsid w:val="001E37A8"/>
    <w:rsid w:val="001E776D"/>
    <w:rsid w:val="001F383E"/>
    <w:rsid w:val="001F7A02"/>
    <w:rsid w:val="00201187"/>
    <w:rsid w:val="0020151D"/>
    <w:rsid w:val="00201AF9"/>
    <w:rsid w:val="00201BF5"/>
    <w:rsid w:val="0020251E"/>
    <w:rsid w:val="00212712"/>
    <w:rsid w:val="00213784"/>
    <w:rsid w:val="002203BB"/>
    <w:rsid w:val="00222C06"/>
    <w:rsid w:val="00222D86"/>
    <w:rsid w:val="00226EB6"/>
    <w:rsid w:val="0023131D"/>
    <w:rsid w:val="00235F2E"/>
    <w:rsid w:val="00242369"/>
    <w:rsid w:val="00245F05"/>
    <w:rsid w:val="0025323C"/>
    <w:rsid w:val="002561D2"/>
    <w:rsid w:val="002567F5"/>
    <w:rsid w:val="002609B1"/>
    <w:rsid w:val="00262324"/>
    <w:rsid w:val="002638CC"/>
    <w:rsid w:val="00265ECC"/>
    <w:rsid w:val="00266F41"/>
    <w:rsid w:val="002707F3"/>
    <w:rsid w:val="00270BC5"/>
    <w:rsid w:val="00271E0A"/>
    <w:rsid w:val="00273624"/>
    <w:rsid w:val="002737B0"/>
    <w:rsid w:val="00277531"/>
    <w:rsid w:val="00277BDB"/>
    <w:rsid w:val="0028110D"/>
    <w:rsid w:val="00282CCE"/>
    <w:rsid w:val="00282FD8"/>
    <w:rsid w:val="00284394"/>
    <w:rsid w:val="00285C51"/>
    <w:rsid w:val="00285F17"/>
    <w:rsid w:val="00290318"/>
    <w:rsid w:val="00290F11"/>
    <w:rsid w:val="00291190"/>
    <w:rsid w:val="002970B6"/>
    <w:rsid w:val="002A084E"/>
    <w:rsid w:val="002A2260"/>
    <w:rsid w:val="002A392B"/>
    <w:rsid w:val="002A5350"/>
    <w:rsid w:val="002B070D"/>
    <w:rsid w:val="002B12D6"/>
    <w:rsid w:val="002B4BB0"/>
    <w:rsid w:val="002B53DD"/>
    <w:rsid w:val="002B5E60"/>
    <w:rsid w:val="002C3A9F"/>
    <w:rsid w:val="002C4BEE"/>
    <w:rsid w:val="002D695F"/>
    <w:rsid w:val="002D704E"/>
    <w:rsid w:val="002E14AE"/>
    <w:rsid w:val="002E1CC6"/>
    <w:rsid w:val="002E2BDC"/>
    <w:rsid w:val="002E5AFA"/>
    <w:rsid w:val="002F052F"/>
    <w:rsid w:val="002F1439"/>
    <w:rsid w:val="002F1B95"/>
    <w:rsid w:val="002F3D4D"/>
    <w:rsid w:val="002F56F7"/>
    <w:rsid w:val="002F5C75"/>
    <w:rsid w:val="00300CAF"/>
    <w:rsid w:val="00303453"/>
    <w:rsid w:val="0030383A"/>
    <w:rsid w:val="003173F3"/>
    <w:rsid w:val="00320A3B"/>
    <w:rsid w:val="00322135"/>
    <w:rsid w:val="00324C89"/>
    <w:rsid w:val="00325B23"/>
    <w:rsid w:val="00331BE4"/>
    <w:rsid w:val="00332CAA"/>
    <w:rsid w:val="00332D5D"/>
    <w:rsid w:val="00334DAA"/>
    <w:rsid w:val="003357A6"/>
    <w:rsid w:val="00340202"/>
    <w:rsid w:val="00342485"/>
    <w:rsid w:val="0034486E"/>
    <w:rsid w:val="00345A30"/>
    <w:rsid w:val="003472B4"/>
    <w:rsid w:val="0034797E"/>
    <w:rsid w:val="00347DCE"/>
    <w:rsid w:val="00347F40"/>
    <w:rsid w:val="00350B6A"/>
    <w:rsid w:val="00354F7A"/>
    <w:rsid w:val="003559B2"/>
    <w:rsid w:val="00357288"/>
    <w:rsid w:val="00357666"/>
    <w:rsid w:val="003630D5"/>
    <w:rsid w:val="00363716"/>
    <w:rsid w:val="00364144"/>
    <w:rsid w:val="003649BE"/>
    <w:rsid w:val="003649CC"/>
    <w:rsid w:val="00366248"/>
    <w:rsid w:val="003705F6"/>
    <w:rsid w:val="0037150B"/>
    <w:rsid w:val="0037350C"/>
    <w:rsid w:val="00375F99"/>
    <w:rsid w:val="003806B8"/>
    <w:rsid w:val="003812B0"/>
    <w:rsid w:val="00381A45"/>
    <w:rsid w:val="003868E4"/>
    <w:rsid w:val="00390B1B"/>
    <w:rsid w:val="003958A2"/>
    <w:rsid w:val="00396D1C"/>
    <w:rsid w:val="003A0C33"/>
    <w:rsid w:val="003A1AF1"/>
    <w:rsid w:val="003A464D"/>
    <w:rsid w:val="003A4668"/>
    <w:rsid w:val="003A5FB7"/>
    <w:rsid w:val="003B49B6"/>
    <w:rsid w:val="003B779D"/>
    <w:rsid w:val="003C059B"/>
    <w:rsid w:val="003C188A"/>
    <w:rsid w:val="003C19A3"/>
    <w:rsid w:val="003C2F02"/>
    <w:rsid w:val="003D0055"/>
    <w:rsid w:val="003D4A23"/>
    <w:rsid w:val="003D5715"/>
    <w:rsid w:val="003D66FF"/>
    <w:rsid w:val="003F1965"/>
    <w:rsid w:val="00400022"/>
    <w:rsid w:val="00400514"/>
    <w:rsid w:val="0040374C"/>
    <w:rsid w:val="0040388F"/>
    <w:rsid w:val="004055D3"/>
    <w:rsid w:val="00405D9C"/>
    <w:rsid w:val="00406104"/>
    <w:rsid w:val="00406FC4"/>
    <w:rsid w:val="00407F5F"/>
    <w:rsid w:val="00415170"/>
    <w:rsid w:val="0042006F"/>
    <w:rsid w:val="004200B5"/>
    <w:rsid w:val="00426C53"/>
    <w:rsid w:val="004271B2"/>
    <w:rsid w:val="00427319"/>
    <w:rsid w:val="00430AE3"/>
    <w:rsid w:val="00435408"/>
    <w:rsid w:val="00440446"/>
    <w:rsid w:val="00442BBA"/>
    <w:rsid w:val="0044558A"/>
    <w:rsid w:val="0045193F"/>
    <w:rsid w:val="00451A23"/>
    <w:rsid w:val="004523BB"/>
    <w:rsid w:val="004579ED"/>
    <w:rsid w:val="00457A30"/>
    <w:rsid w:val="004618FF"/>
    <w:rsid w:val="0047285B"/>
    <w:rsid w:val="0047329B"/>
    <w:rsid w:val="0047355B"/>
    <w:rsid w:val="004755CF"/>
    <w:rsid w:val="004774C5"/>
    <w:rsid w:val="0048519A"/>
    <w:rsid w:val="004866DD"/>
    <w:rsid w:val="004871D9"/>
    <w:rsid w:val="0048793F"/>
    <w:rsid w:val="00491AFB"/>
    <w:rsid w:val="0049341C"/>
    <w:rsid w:val="004936BA"/>
    <w:rsid w:val="00495CEC"/>
    <w:rsid w:val="00496953"/>
    <w:rsid w:val="004A1388"/>
    <w:rsid w:val="004A147B"/>
    <w:rsid w:val="004A5DD7"/>
    <w:rsid w:val="004A7EF3"/>
    <w:rsid w:val="004B05FC"/>
    <w:rsid w:val="004B0FEA"/>
    <w:rsid w:val="004B36AA"/>
    <w:rsid w:val="004B5A4F"/>
    <w:rsid w:val="004C35C8"/>
    <w:rsid w:val="004C4BF1"/>
    <w:rsid w:val="004C63D7"/>
    <w:rsid w:val="004D0442"/>
    <w:rsid w:val="004D45D1"/>
    <w:rsid w:val="004D4A20"/>
    <w:rsid w:val="004D7491"/>
    <w:rsid w:val="004E0347"/>
    <w:rsid w:val="004E2403"/>
    <w:rsid w:val="004E2DD0"/>
    <w:rsid w:val="004E5075"/>
    <w:rsid w:val="004E51F3"/>
    <w:rsid w:val="004E7DB2"/>
    <w:rsid w:val="004F04B9"/>
    <w:rsid w:val="004F4CD5"/>
    <w:rsid w:val="005001E6"/>
    <w:rsid w:val="00500528"/>
    <w:rsid w:val="00500A31"/>
    <w:rsid w:val="00505928"/>
    <w:rsid w:val="00511AD3"/>
    <w:rsid w:val="00515BD7"/>
    <w:rsid w:val="005166E9"/>
    <w:rsid w:val="00521BB8"/>
    <w:rsid w:val="0052326D"/>
    <w:rsid w:val="00523D05"/>
    <w:rsid w:val="00530230"/>
    <w:rsid w:val="005312A2"/>
    <w:rsid w:val="00541DF7"/>
    <w:rsid w:val="00544836"/>
    <w:rsid w:val="00546D57"/>
    <w:rsid w:val="00552B1B"/>
    <w:rsid w:val="00556255"/>
    <w:rsid w:val="00557311"/>
    <w:rsid w:val="00560DBF"/>
    <w:rsid w:val="00566357"/>
    <w:rsid w:val="00570D5A"/>
    <w:rsid w:val="0057126A"/>
    <w:rsid w:val="00571622"/>
    <w:rsid w:val="00571C62"/>
    <w:rsid w:val="005724CA"/>
    <w:rsid w:val="00574404"/>
    <w:rsid w:val="005772B3"/>
    <w:rsid w:val="00577484"/>
    <w:rsid w:val="00577DA2"/>
    <w:rsid w:val="005806E6"/>
    <w:rsid w:val="00581BCC"/>
    <w:rsid w:val="0058680A"/>
    <w:rsid w:val="005874F6"/>
    <w:rsid w:val="00593B53"/>
    <w:rsid w:val="00596089"/>
    <w:rsid w:val="005A1AC5"/>
    <w:rsid w:val="005A3C15"/>
    <w:rsid w:val="005A3CBF"/>
    <w:rsid w:val="005A4EA0"/>
    <w:rsid w:val="005A533C"/>
    <w:rsid w:val="005A5CC9"/>
    <w:rsid w:val="005B4976"/>
    <w:rsid w:val="005B6FE1"/>
    <w:rsid w:val="005B7646"/>
    <w:rsid w:val="005C7209"/>
    <w:rsid w:val="005D0BFC"/>
    <w:rsid w:val="005D3B09"/>
    <w:rsid w:val="005D7760"/>
    <w:rsid w:val="0060574F"/>
    <w:rsid w:val="0060588D"/>
    <w:rsid w:val="00613AB0"/>
    <w:rsid w:val="00613DEE"/>
    <w:rsid w:val="00620EAD"/>
    <w:rsid w:val="0062341F"/>
    <w:rsid w:val="00624C54"/>
    <w:rsid w:val="00627B61"/>
    <w:rsid w:val="00632E9C"/>
    <w:rsid w:val="0063334E"/>
    <w:rsid w:val="00633A56"/>
    <w:rsid w:val="00634914"/>
    <w:rsid w:val="00640F91"/>
    <w:rsid w:val="00645D6D"/>
    <w:rsid w:val="006477C2"/>
    <w:rsid w:val="006477CB"/>
    <w:rsid w:val="0065409D"/>
    <w:rsid w:val="006540AA"/>
    <w:rsid w:val="00654FBC"/>
    <w:rsid w:val="006559E2"/>
    <w:rsid w:val="00656C2A"/>
    <w:rsid w:val="00657B62"/>
    <w:rsid w:val="006622B8"/>
    <w:rsid w:val="00664412"/>
    <w:rsid w:val="00665EAB"/>
    <w:rsid w:val="00670291"/>
    <w:rsid w:val="00671D14"/>
    <w:rsid w:val="00671FEA"/>
    <w:rsid w:val="0067532A"/>
    <w:rsid w:val="006835C4"/>
    <w:rsid w:val="006842DA"/>
    <w:rsid w:val="00693F26"/>
    <w:rsid w:val="006951FA"/>
    <w:rsid w:val="006A0E28"/>
    <w:rsid w:val="006A602D"/>
    <w:rsid w:val="006A7B00"/>
    <w:rsid w:val="006B0341"/>
    <w:rsid w:val="006B1702"/>
    <w:rsid w:val="006B3AB2"/>
    <w:rsid w:val="006B5FE5"/>
    <w:rsid w:val="006C0725"/>
    <w:rsid w:val="006C2621"/>
    <w:rsid w:val="006C29AD"/>
    <w:rsid w:val="006C35B9"/>
    <w:rsid w:val="006C44F8"/>
    <w:rsid w:val="006C5C48"/>
    <w:rsid w:val="006C640F"/>
    <w:rsid w:val="006C79B9"/>
    <w:rsid w:val="006D66B1"/>
    <w:rsid w:val="006D7458"/>
    <w:rsid w:val="006E15D9"/>
    <w:rsid w:val="006E674A"/>
    <w:rsid w:val="006F44A1"/>
    <w:rsid w:val="006F5912"/>
    <w:rsid w:val="006F6B64"/>
    <w:rsid w:val="00704B30"/>
    <w:rsid w:val="00705725"/>
    <w:rsid w:val="00705AF3"/>
    <w:rsid w:val="00710A90"/>
    <w:rsid w:val="00712D89"/>
    <w:rsid w:val="00713B34"/>
    <w:rsid w:val="00716FB7"/>
    <w:rsid w:val="007271BC"/>
    <w:rsid w:val="00730E35"/>
    <w:rsid w:val="00732D48"/>
    <w:rsid w:val="00734727"/>
    <w:rsid w:val="00737244"/>
    <w:rsid w:val="00737F6E"/>
    <w:rsid w:val="00740301"/>
    <w:rsid w:val="00741E59"/>
    <w:rsid w:val="00743959"/>
    <w:rsid w:val="00747BF6"/>
    <w:rsid w:val="0075691B"/>
    <w:rsid w:val="007576CD"/>
    <w:rsid w:val="00766592"/>
    <w:rsid w:val="00767D24"/>
    <w:rsid w:val="00775021"/>
    <w:rsid w:val="00775DC9"/>
    <w:rsid w:val="00776F76"/>
    <w:rsid w:val="0077777E"/>
    <w:rsid w:val="00781D28"/>
    <w:rsid w:val="007843A1"/>
    <w:rsid w:val="00785086"/>
    <w:rsid w:val="007864C1"/>
    <w:rsid w:val="00787CCB"/>
    <w:rsid w:val="007900BE"/>
    <w:rsid w:val="00790FE0"/>
    <w:rsid w:val="0079131A"/>
    <w:rsid w:val="00793F15"/>
    <w:rsid w:val="00795FA5"/>
    <w:rsid w:val="007A0C6C"/>
    <w:rsid w:val="007A3B94"/>
    <w:rsid w:val="007B0CD2"/>
    <w:rsid w:val="007B469B"/>
    <w:rsid w:val="007B4A2E"/>
    <w:rsid w:val="007B4E29"/>
    <w:rsid w:val="007B7621"/>
    <w:rsid w:val="007C7705"/>
    <w:rsid w:val="007D13F8"/>
    <w:rsid w:val="007D4339"/>
    <w:rsid w:val="007E02E4"/>
    <w:rsid w:val="007E073A"/>
    <w:rsid w:val="007E1526"/>
    <w:rsid w:val="007E2ECA"/>
    <w:rsid w:val="007E3AB5"/>
    <w:rsid w:val="007E4AFF"/>
    <w:rsid w:val="007E74B9"/>
    <w:rsid w:val="007F07DB"/>
    <w:rsid w:val="007F0B59"/>
    <w:rsid w:val="007F3504"/>
    <w:rsid w:val="007F579B"/>
    <w:rsid w:val="007F6F64"/>
    <w:rsid w:val="00800D66"/>
    <w:rsid w:val="00801239"/>
    <w:rsid w:val="00801D4D"/>
    <w:rsid w:val="008021FE"/>
    <w:rsid w:val="008043C1"/>
    <w:rsid w:val="008062BE"/>
    <w:rsid w:val="008065F5"/>
    <w:rsid w:val="00807055"/>
    <w:rsid w:val="00813A7A"/>
    <w:rsid w:val="008176B5"/>
    <w:rsid w:val="00821CEF"/>
    <w:rsid w:val="00825BD7"/>
    <w:rsid w:val="00830BFB"/>
    <w:rsid w:val="008315E5"/>
    <w:rsid w:val="00831F76"/>
    <w:rsid w:val="00833FF5"/>
    <w:rsid w:val="008340A0"/>
    <w:rsid w:val="0084005E"/>
    <w:rsid w:val="008402CF"/>
    <w:rsid w:val="0084055E"/>
    <w:rsid w:val="00840C08"/>
    <w:rsid w:val="008438F7"/>
    <w:rsid w:val="00844141"/>
    <w:rsid w:val="008463C2"/>
    <w:rsid w:val="00850EAC"/>
    <w:rsid w:val="00861E39"/>
    <w:rsid w:val="00862016"/>
    <w:rsid w:val="00864295"/>
    <w:rsid w:val="00864374"/>
    <w:rsid w:val="00864FF9"/>
    <w:rsid w:val="008716E2"/>
    <w:rsid w:val="00874027"/>
    <w:rsid w:val="008741A0"/>
    <w:rsid w:val="008755CC"/>
    <w:rsid w:val="008772C0"/>
    <w:rsid w:val="00877CB0"/>
    <w:rsid w:val="008850C4"/>
    <w:rsid w:val="00886337"/>
    <w:rsid w:val="00893E00"/>
    <w:rsid w:val="0089451A"/>
    <w:rsid w:val="008955B8"/>
    <w:rsid w:val="008A2658"/>
    <w:rsid w:val="008A3E30"/>
    <w:rsid w:val="008A5236"/>
    <w:rsid w:val="008B06DF"/>
    <w:rsid w:val="008B0801"/>
    <w:rsid w:val="008C581A"/>
    <w:rsid w:val="008D1FA2"/>
    <w:rsid w:val="008D2B09"/>
    <w:rsid w:val="008D2F92"/>
    <w:rsid w:val="008D5190"/>
    <w:rsid w:val="008D51B8"/>
    <w:rsid w:val="008E3478"/>
    <w:rsid w:val="008E3F10"/>
    <w:rsid w:val="008E5F8C"/>
    <w:rsid w:val="008F35C9"/>
    <w:rsid w:val="008F6880"/>
    <w:rsid w:val="008F7C1C"/>
    <w:rsid w:val="008F7D1E"/>
    <w:rsid w:val="00900614"/>
    <w:rsid w:val="009015CB"/>
    <w:rsid w:val="009019C1"/>
    <w:rsid w:val="009035AC"/>
    <w:rsid w:val="009039A8"/>
    <w:rsid w:val="0090580E"/>
    <w:rsid w:val="009124F9"/>
    <w:rsid w:val="00912A04"/>
    <w:rsid w:val="00912DB1"/>
    <w:rsid w:val="009133A5"/>
    <w:rsid w:val="00914C24"/>
    <w:rsid w:val="00915A01"/>
    <w:rsid w:val="00916528"/>
    <w:rsid w:val="0092093F"/>
    <w:rsid w:val="0092584B"/>
    <w:rsid w:val="009263D0"/>
    <w:rsid w:val="009273B9"/>
    <w:rsid w:val="009303C5"/>
    <w:rsid w:val="00930B5E"/>
    <w:rsid w:val="009322B4"/>
    <w:rsid w:val="009324BA"/>
    <w:rsid w:val="009344EF"/>
    <w:rsid w:val="00936760"/>
    <w:rsid w:val="00942BAE"/>
    <w:rsid w:val="00947991"/>
    <w:rsid w:val="009527BE"/>
    <w:rsid w:val="00955465"/>
    <w:rsid w:val="00957208"/>
    <w:rsid w:val="00957A2E"/>
    <w:rsid w:val="009620B1"/>
    <w:rsid w:val="00962D9E"/>
    <w:rsid w:val="0096339F"/>
    <w:rsid w:val="00964ECB"/>
    <w:rsid w:val="00965EC0"/>
    <w:rsid w:val="00966DC1"/>
    <w:rsid w:val="0097286C"/>
    <w:rsid w:val="0097401A"/>
    <w:rsid w:val="009750FF"/>
    <w:rsid w:val="0097527C"/>
    <w:rsid w:val="0098226D"/>
    <w:rsid w:val="00982410"/>
    <w:rsid w:val="00982725"/>
    <w:rsid w:val="00985BCA"/>
    <w:rsid w:val="00985C86"/>
    <w:rsid w:val="0098653F"/>
    <w:rsid w:val="00991F1E"/>
    <w:rsid w:val="0099251F"/>
    <w:rsid w:val="00995794"/>
    <w:rsid w:val="00997064"/>
    <w:rsid w:val="00997B28"/>
    <w:rsid w:val="009A4A23"/>
    <w:rsid w:val="009A61B4"/>
    <w:rsid w:val="009A7BF4"/>
    <w:rsid w:val="009A7F78"/>
    <w:rsid w:val="009B07F2"/>
    <w:rsid w:val="009B0BF7"/>
    <w:rsid w:val="009B1AE5"/>
    <w:rsid w:val="009B1F53"/>
    <w:rsid w:val="009B725A"/>
    <w:rsid w:val="009C325A"/>
    <w:rsid w:val="009C3627"/>
    <w:rsid w:val="009C4EE2"/>
    <w:rsid w:val="009C531F"/>
    <w:rsid w:val="009D23BF"/>
    <w:rsid w:val="009D3D12"/>
    <w:rsid w:val="009D7010"/>
    <w:rsid w:val="009D77C6"/>
    <w:rsid w:val="009D7874"/>
    <w:rsid w:val="009E31F9"/>
    <w:rsid w:val="009E3580"/>
    <w:rsid w:val="009E6266"/>
    <w:rsid w:val="009E6745"/>
    <w:rsid w:val="009E7F56"/>
    <w:rsid w:val="009F26D7"/>
    <w:rsid w:val="009F3459"/>
    <w:rsid w:val="00A0003C"/>
    <w:rsid w:val="00A028A6"/>
    <w:rsid w:val="00A05AC7"/>
    <w:rsid w:val="00A05D53"/>
    <w:rsid w:val="00A06A52"/>
    <w:rsid w:val="00A07858"/>
    <w:rsid w:val="00A10BA8"/>
    <w:rsid w:val="00A129E1"/>
    <w:rsid w:val="00A1529F"/>
    <w:rsid w:val="00A16A12"/>
    <w:rsid w:val="00A230FC"/>
    <w:rsid w:val="00A24DFD"/>
    <w:rsid w:val="00A25BC4"/>
    <w:rsid w:val="00A31D9B"/>
    <w:rsid w:val="00A3623A"/>
    <w:rsid w:val="00A415F8"/>
    <w:rsid w:val="00A41D74"/>
    <w:rsid w:val="00A45373"/>
    <w:rsid w:val="00A5267A"/>
    <w:rsid w:val="00A536BB"/>
    <w:rsid w:val="00A55579"/>
    <w:rsid w:val="00A572B7"/>
    <w:rsid w:val="00A601B4"/>
    <w:rsid w:val="00A60D9E"/>
    <w:rsid w:val="00A61074"/>
    <w:rsid w:val="00A63B72"/>
    <w:rsid w:val="00A65C64"/>
    <w:rsid w:val="00A66FC8"/>
    <w:rsid w:val="00A67C94"/>
    <w:rsid w:val="00A70960"/>
    <w:rsid w:val="00A7273B"/>
    <w:rsid w:val="00A72B8F"/>
    <w:rsid w:val="00A73AF0"/>
    <w:rsid w:val="00A74D47"/>
    <w:rsid w:val="00A773EA"/>
    <w:rsid w:val="00A82537"/>
    <w:rsid w:val="00A8311A"/>
    <w:rsid w:val="00A84F4B"/>
    <w:rsid w:val="00A86A4F"/>
    <w:rsid w:val="00A905B8"/>
    <w:rsid w:val="00A90C80"/>
    <w:rsid w:val="00A90EAF"/>
    <w:rsid w:val="00A9329F"/>
    <w:rsid w:val="00A966B2"/>
    <w:rsid w:val="00AA2B54"/>
    <w:rsid w:val="00AA3A96"/>
    <w:rsid w:val="00AA738F"/>
    <w:rsid w:val="00AB5AA1"/>
    <w:rsid w:val="00AC18A0"/>
    <w:rsid w:val="00AC3837"/>
    <w:rsid w:val="00AC6EB1"/>
    <w:rsid w:val="00AD2360"/>
    <w:rsid w:val="00AD43F8"/>
    <w:rsid w:val="00AD6393"/>
    <w:rsid w:val="00AD7B54"/>
    <w:rsid w:val="00AE14A0"/>
    <w:rsid w:val="00AE4EFF"/>
    <w:rsid w:val="00AE7A70"/>
    <w:rsid w:val="00AF134E"/>
    <w:rsid w:val="00AF3DCE"/>
    <w:rsid w:val="00AF3F4B"/>
    <w:rsid w:val="00AF4056"/>
    <w:rsid w:val="00AF425D"/>
    <w:rsid w:val="00AF5A4D"/>
    <w:rsid w:val="00B00C7F"/>
    <w:rsid w:val="00B00F9D"/>
    <w:rsid w:val="00B01379"/>
    <w:rsid w:val="00B01F99"/>
    <w:rsid w:val="00B04585"/>
    <w:rsid w:val="00B11585"/>
    <w:rsid w:val="00B13E21"/>
    <w:rsid w:val="00B15159"/>
    <w:rsid w:val="00B153E0"/>
    <w:rsid w:val="00B15E7C"/>
    <w:rsid w:val="00B20E9E"/>
    <w:rsid w:val="00B22B49"/>
    <w:rsid w:val="00B2322F"/>
    <w:rsid w:val="00B23402"/>
    <w:rsid w:val="00B2477C"/>
    <w:rsid w:val="00B26DD6"/>
    <w:rsid w:val="00B34925"/>
    <w:rsid w:val="00B41C81"/>
    <w:rsid w:val="00B46222"/>
    <w:rsid w:val="00B47238"/>
    <w:rsid w:val="00B474CF"/>
    <w:rsid w:val="00B53B04"/>
    <w:rsid w:val="00B60B6D"/>
    <w:rsid w:val="00B61956"/>
    <w:rsid w:val="00B67325"/>
    <w:rsid w:val="00B722EE"/>
    <w:rsid w:val="00B72378"/>
    <w:rsid w:val="00B74363"/>
    <w:rsid w:val="00B81040"/>
    <w:rsid w:val="00B82059"/>
    <w:rsid w:val="00B82C64"/>
    <w:rsid w:val="00B917A4"/>
    <w:rsid w:val="00B95E3E"/>
    <w:rsid w:val="00BA1236"/>
    <w:rsid w:val="00BA137C"/>
    <w:rsid w:val="00BA2D62"/>
    <w:rsid w:val="00BA415C"/>
    <w:rsid w:val="00BA6991"/>
    <w:rsid w:val="00BB094A"/>
    <w:rsid w:val="00BB2E20"/>
    <w:rsid w:val="00BB448E"/>
    <w:rsid w:val="00BB45BA"/>
    <w:rsid w:val="00BB7CD4"/>
    <w:rsid w:val="00BC258F"/>
    <w:rsid w:val="00BC4056"/>
    <w:rsid w:val="00BC4230"/>
    <w:rsid w:val="00BC5C2B"/>
    <w:rsid w:val="00BC638C"/>
    <w:rsid w:val="00BD4B7E"/>
    <w:rsid w:val="00BD6F32"/>
    <w:rsid w:val="00BD79C4"/>
    <w:rsid w:val="00BE165F"/>
    <w:rsid w:val="00BE371A"/>
    <w:rsid w:val="00BE5BC6"/>
    <w:rsid w:val="00BF21B8"/>
    <w:rsid w:val="00BF5439"/>
    <w:rsid w:val="00BF6C29"/>
    <w:rsid w:val="00C02CBF"/>
    <w:rsid w:val="00C048A3"/>
    <w:rsid w:val="00C0736C"/>
    <w:rsid w:val="00C10257"/>
    <w:rsid w:val="00C10842"/>
    <w:rsid w:val="00C20F12"/>
    <w:rsid w:val="00C23241"/>
    <w:rsid w:val="00C33D66"/>
    <w:rsid w:val="00C3757B"/>
    <w:rsid w:val="00C44873"/>
    <w:rsid w:val="00C4573E"/>
    <w:rsid w:val="00C472DF"/>
    <w:rsid w:val="00C47656"/>
    <w:rsid w:val="00C4769F"/>
    <w:rsid w:val="00C47D83"/>
    <w:rsid w:val="00C50D5B"/>
    <w:rsid w:val="00C6213E"/>
    <w:rsid w:val="00C62247"/>
    <w:rsid w:val="00C75007"/>
    <w:rsid w:val="00C7642A"/>
    <w:rsid w:val="00C764D3"/>
    <w:rsid w:val="00C80C91"/>
    <w:rsid w:val="00C87B40"/>
    <w:rsid w:val="00C9285B"/>
    <w:rsid w:val="00C95D4C"/>
    <w:rsid w:val="00CA10F9"/>
    <w:rsid w:val="00CA3990"/>
    <w:rsid w:val="00CA427E"/>
    <w:rsid w:val="00CA5DE8"/>
    <w:rsid w:val="00CA61D8"/>
    <w:rsid w:val="00CA656E"/>
    <w:rsid w:val="00CA73AF"/>
    <w:rsid w:val="00CA74C6"/>
    <w:rsid w:val="00CB17A7"/>
    <w:rsid w:val="00CB5AAC"/>
    <w:rsid w:val="00CB6ADE"/>
    <w:rsid w:val="00CB7FD0"/>
    <w:rsid w:val="00CC64FB"/>
    <w:rsid w:val="00CC7E74"/>
    <w:rsid w:val="00CD5A8D"/>
    <w:rsid w:val="00CD7778"/>
    <w:rsid w:val="00CE0176"/>
    <w:rsid w:val="00CE52A2"/>
    <w:rsid w:val="00CE758B"/>
    <w:rsid w:val="00CE7BFE"/>
    <w:rsid w:val="00CF046D"/>
    <w:rsid w:val="00CF0C27"/>
    <w:rsid w:val="00CF20D6"/>
    <w:rsid w:val="00CF26AD"/>
    <w:rsid w:val="00D10A61"/>
    <w:rsid w:val="00D12B9C"/>
    <w:rsid w:val="00D1499A"/>
    <w:rsid w:val="00D15E0B"/>
    <w:rsid w:val="00D21871"/>
    <w:rsid w:val="00D24943"/>
    <w:rsid w:val="00D25088"/>
    <w:rsid w:val="00D30AE8"/>
    <w:rsid w:val="00D3252D"/>
    <w:rsid w:val="00D328F3"/>
    <w:rsid w:val="00D33545"/>
    <w:rsid w:val="00D34C43"/>
    <w:rsid w:val="00D35322"/>
    <w:rsid w:val="00D366F8"/>
    <w:rsid w:val="00D40CA9"/>
    <w:rsid w:val="00D4137B"/>
    <w:rsid w:val="00D43AF5"/>
    <w:rsid w:val="00D464CF"/>
    <w:rsid w:val="00D5184B"/>
    <w:rsid w:val="00D5385D"/>
    <w:rsid w:val="00D6020C"/>
    <w:rsid w:val="00D6059A"/>
    <w:rsid w:val="00D6328B"/>
    <w:rsid w:val="00D66FDF"/>
    <w:rsid w:val="00D67D04"/>
    <w:rsid w:val="00D808D9"/>
    <w:rsid w:val="00D84FDB"/>
    <w:rsid w:val="00D86B42"/>
    <w:rsid w:val="00D91005"/>
    <w:rsid w:val="00D957AC"/>
    <w:rsid w:val="00D973EB"/>
    <w:rsid w:val="00D9752A"/>
    <w:rsid w:val="00DA12CB"/>
    <w:rsid w:val="00DA242C"/>
    <w:rsid w:val="00DA2628"/>
    <w:rsid w:val="00DA2B10"/>
    <w:rsid w:val="00DA3C7E"/>
    <w:rsid w:val="00DA41E0"/>
    <w:rsid w:val="00DA4B21"/>
    <w:rsid w:val="00DB0F9E"/>
    <w:rsid w:val="00DB4188"/>
    <w:rsid w:val="00DB6623"/>
    <w:rsid w:val="00DB7F67"/>
    <w:rsid w:val="00DC0148"/>
    <w:rsid w:val="00DC0522"/>
    <w:rsid w:val="00DC30BB"/>
    <w:rsid w:val="00DC6653"/>
    <w:rsid w:val="00DD0A15"/>
    <w:rsid w:val="00DD0F24"/>
    <w:rsid w:val="00DD4A1C"/>
    <w:rsid w:val="00DD6E7F"/>
    <w:rsid w:val="00DE0568"/>
    <w:rsid w:val="00DE10B6"/>
    <w:rsid w:val="00DE350D"/>
    <w:rsid w:val="00DE359F"/>
    <w:rsid w:val="00DE4034"/>
    <w:rsid w:val="00DE435A"/>
    <w:rsid w:val="00DF52F3"/>
    <w:rsid w:val="00E03970"/>
    <w:rsid w:val="00E0551A"/>
    <w:rsid w:val="00E072C6"/>
    <w:rsid w:val="00E10EC2"/>
    <w:rsid w:val="00E12373"/>
    <w:rsid w:val="00E14A86"/>
    <w:rsid w:val="00E229FA"/>
    <w:rsid w:val="00E22D73"/>
    <w:rsid w:val="00E25412"/>
    <w:rsid w:val="00E32660"/>
    <w:rsid w:val="00E35872"/>
    <w:rsid w:val="00E40854"/>
    <w:rsid w:val="00E441F2"/>
    <w:rsid w:val="00E50584"/>
    <w:rsid w:val="00E55723"/>
    <w:rsid w:val="00E55C75"/>
    <w:rsid w:val="00E62D23"/>
    <w:rsid w:val="00E63954"/>
    <w:rsid w:val="00E64050"/>
    <w:rsid w:val="00E674E0"/>
    <w:rsid w:val="00E81369"/>
    <w:rsid w:val="00E83761"/>
    <w:rsid w:val="00E92899"/>
    <w:rsid w:val="00E92A3C"/>
    <w:rsid w:val="00EA2E33"/>
    <w:rsid w:val="00EA3D42"/>
    <w:rsid w:val="00EA3F5F"/>
    <w:rsid w:val="00EA4E4A"/>
    <w:rsid w:val="00EB10BF"/>
    <w:rsid w:val="00EB112A"/>
    <w:rsid w:val="00EB2772"/>
    <w:rsid w:val="00EB4018"/>
    <w:rsid w:val="00EC00CA"/>
    <w:rsid w:val="00EC318C"/>
    <w:rsid w:val="00EC3BB9"/>
    <w:rsid w:val="00EC4224"/>
    <w:rsid w:val="00EC4332"/>
    <w:rsid w:val="00EC5088"/>
    <w:rsid w:val="00EC72F5"/>
    <w:rsid w:val="00ED2215"/>
    <w:rsid w:val="00ED3AF8"/>
    <w:rsid w:val="00ED3D3B"/>
    <w:rsid w:val="00ED4B72"/>
    <w:rsid w:val="00ED5002"/>
    <w:rsid w:val="00ED5131"/>
    <w:rsid w:val="00EE2E2E"/>
    <w:rsid w:val="00EE5602"/>
    <w:rsid w:val="00EF0FD5"/>
    <w:rsid w:val="00EF1E8C"/>
    <w:rsid w:val="00EF4F5B"/>
    <w:rsid w:val="00F02B3B"/>
    <w:rsid w:val="00F032EE"/>
    <w:rsid w:val="00F038CD"/>
    <w:rsid w:val="00F06DCF"/>
    <w:rsid w:val="00F0779A"/>
    <w:rsid w:val="00F07A62"/>
    <w:rsid w:val="00F10CC8"/>
    <w:rsid w:val="00F14137"/>
    <w:rsid w:val="00F20FE0"/>
    <w:rsid w:val="00F21598"/>
    <w:rsid w:val="00F21859"/>
    <w:rsid w:val="00F21FB8"/>
    <w:rsid w:val="00F22736"/>
    <w:rsid w:val="00F22D1C"/>
    <w:rsid w:val="00F25455"/>
    <w:rsid w:val="00F26E44"/>
    <w:rsid w:val="00F277E2"/>
    <w:rsid w:val="00F27DC4"/>
    <w:rsid w:val="00F32DA5"/>
    <w:rsid w:val="00F41AC2"/>
    <w:rsid w:val="00F42C83"/>
    <w:rsid w:val="00F45795"/>
    <w:rsid w:val="00F45D3E"/>
    <w:rsid w:val="00F466FF"/>
    <w:rsid w:val="00F50EEC"/>
    <w:rsid w:val="00F520C6"/>
    <w:rsid w:val="00F531BE"/>
    <w:rsid w:val="00F61774"/>
    <w:rsid w:val="00F62BA7"/>
    <w:rsid w:val="00F6360F"/>
    <w:rsid w:val="00F655B5"/>
    <w:rsid w:val="00F6593D"/>
    <w:rsid w:val="00F67BDA"/>
    <w:rsid w:val="00F744DF"/>
    <w:rsid w:val="00F744FE"/>
    <w:rsid w:val="00F76E37"/>
    <w:rsid w:val="00F851C7"/>
    <w:rsid w:val="00F85B6A"/>
    <w:rsid w:val="00F86145"/>
    <w:rsid w:val="00F92DB2"/>
    <w:rsid w:val="00F96A4C"/>
    <w:rsid w:val="00F96C83"/>
    <w:rsid w:val="00F97BBE"/>
    <w:rsid w:val="00FA0281"/>
    <w:rsid w:val="00FA1527"/>
    <w:rsid w:val="00FA18A6"/>
    <w:rsid w:val="00FA4AB4"/>
    <w:rsid w:val="00FA7582"/>
    <w:rsid w:val="00FB0051"/>
    <w:rsid w:val="00FB1FD2"/>
    <w:rsid w:val="00FB3591"/>
    <w:rsid w:val="00FB4A20"/>
    <w:rsid w:val="00FD1A66"/>
    <w:rsid w:val="00FD2695"/>
    <w:rsid w:val="00FD26EF"/>
    <w:rsid w:val="00FD526E"/>
    <w:rsid w:val="00FD7CC3"/>
    <w:rsid w:val="00FE19DE"/>
    <w:rsid w:val="00FE57DF"/>
    <w:rsid w:val="00FF13CE"/>
    <w:rsid w:val="00FF3F49"/>
    <w:rsid w:val="00FF497E"/>
    <w:rsid w:val="00FF5695"/>
    <w:rsid w:val="00FF58CB"/>
    <w:rsid w:val="00FF5AD5"/>
    <w:rsid w:val="02644850"/>
    <w:rsid w:val="06A73254"/>
    <w:rsid w:val="2D54032B"/>
    <w:rsid w:val="38FF1186"/>
    <w:rsid w:val="5DBD41DB"/>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D19E6"/>
  <w15:docId w15:val="{B0D061A5-8118-44DF-9E32-8CC48AD3C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rFonts w:eastAsiaTheme="minorEastAsia"/>
      <w:sz w:val="22"/>
      <w:szCs w:val="22"/>
    </w:rPr>
  </w:style>
  <w:style w:type="paragraph" w:styleId="Nagwek1">
    <w:name w:val="heading 1"/>
    <w:basedOn w:val="Normalny"/>
    <w:next w:val="Normalny"/>
    <w:link w:val="Nagwek1Znak"/>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qFormat/>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pPr>
      <w:spacing w:after="0" w:line="240" w:lineRule="auto"/>
    </w:pPr>
    <w:rPr>
      <w:rFonts w:ascii="Tahoma" w:hAnsi="Tahoma" w:cs="Tahoma"/>
      <w:sz w:val="16"/>
      <w:szCs w:val="16"/>
    </w:rPr>
  </w:style>
  <w:style w:type="character" w:styleId="Odwoaniedokomentarza">
    <w:name w:val="annotation reference"/>
    <w:basedOn w:val="Domylnaczcionkaakapitu"/>
    <w:uiPriority w:val="99"/>
    <w:semiHidden/>
    <w:unhideWhenUsed/>
    <w:qFormat/>
    <w:rPr>
      <w:sz w:val="16"/>
      <w:szCs w:val="16"/>
    </w:rPr>
  </w:style>
  <w:style w:type="paragraph" w:styleId="Tekstkomentarza">
    <w:name w:val="annotation text"/>
    <w:basedOn w:val="Normalny"/>
    <w:link w:val="TekstkomentarzaZnak"/>
    <w:uiPriority w:val="99"/>
    <w:unhideWhenUsed/>
    <w:qFormat/>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rPr>
      <w:b/>
      <w:bCs/>
    </w:rPr>
  </w:style>
  <w:style w:type="character" w:styleId="Odwoanieprzypisukocowego">
    <w:name w:val="endnote reference"/>
    <w:basedOn w:val="Domylnaczcionkaakapitu"/>
    <w:uiPriority w:val="99"/>
    <w:semiHidden/>
    <w:unhideWhenUsed/>
    <w:qFormat/>
    <w:rPr>
      <w:vertAlign w:val="superscript"/>
    </w:rPr>
  </w:style>
  <w:style w:type="paragraph" w:styleId="Tekstprzypisukocowego">
    <w:name w:val="endnote text"/>
    <w:basedOn w:val="Normalny"/>
    <w:link w:val="TekstprzypisukocowegoZnak"/>
    <w:uiPriority w:val="99"/>
    <w:semiHidden/>
    <w:unhideWhenUsed/>
    <w:qFormat/>
    <w:pPr>
      <w:spacing w:after="0" w:line="240" w:lineRule="auto"/>
    </w:pPr>
    <w:rPr>
      <w:sz w:val="20"/>
      <w:szCs w:val="20"/>
    </w:rPr>
  </w:style>
  <w:style w:type="paragraph" w:styleId="Stopka">
    <w:name w:val="footer"/>
    <w:basedOn w:val="Normalny"/>
    <w:link w:val="StopkaZnak"/>
    <w:uiPriority w:val="99"/>
    <w:unhideWhenUsed/>
    <w:qFormat/>
    <w:pPr>
      <w:tabs>
        <w:tab w:val="center" w:pos="4536"/>
        <w:tab w:val="right" w:pos="9072"/>
      </w:tabs>
      <w:spacing w:after="0" w:line="240" w:lineRule="auto"/>
    </w:pPr>
  </w:style>
  <w:style w:type="character" w:styleId="Odwoanieprzypisudolnego">
    <w:name w:val="footnote reference"/>
    <w:basedOn w:val="Domylnaczcionkaakapitu"/>
    <w:uiPriority w:val="99"/>
    <w:semiHidden/>
    <w:unhideWhenUsed/>
    <w:qFormat/>
    <w:rPr>
      <w:vertAlign w:val="superscript"/>
    </w:rPr>
  </w:style>
  <w:style w:type="paragraph" w:styleId="Tekstprzypisudolnego">
    <w:name w:val="footnote text"/>
    <w:basedOn w:val="Normalny"/>
    <w:link w:val="TekstprzypisudolnegoZnak"/>
    <w:uiPriority w:val="99"/>
    <w:semiHidden/>
    <w:unhideWhenUsed/>
    <w:qFormat/>
    <w:pPr>
      <w:spacing w:after="0" w:line="240" w:lineRule="auto"/>
    </w:pPr>
    <w:rPr>
      <w:sz w:val="20"/>
      <w:szCs w:val="20"/>
    </w:rPr>
  </w:style>
  <w:style w:type="paragraph" w:styleId="Nagwek">
    <w:name w:val="header"/>
    <w:basedOn w:val="Normalny"/>
    <w:link w:val="NagwekZnak"/>
    <w:uiPriority w:val="99"/>
    <w:unhideWhenUsed/>
    <w:qFormat/>
    <w:pPr>
      <w:tabs>
        <w:tab w:val="center" w:pos="4536"/>
        <w:tab w:val="right" w:pos="9072"/>
      </w:tabs>
      <w:spacing w:after="0" w:line="240" w:lineRule="auto"/>
    </w:pPr>
    <w:rPr>
      <w:rFonts w:eastAsiaTheme="minorHAnsi"/>
      <w:lang w:eastAsia="en-US"/>
    </w:rPr>
  </w:style>
  <w:style w:type="character" w:styleId="Hipercze">
    <w:name w:val="Hyperlink"/>
    <w:basedOn w:val="Domylnaczcionkaakapitu"/>
    <w:uiPriority w:val="99"/>
    <w:unhideWhenUsed/>
    <w:qFormat/>
    <w:rPr>
      <w:color w:val="0000FF" w:themeColor="hyperlink"/>
      <w:u w:val="single"/>
    </w:rPr>
  </w:style>
  <w:style w:type="table" w:styleId="Tabela-Siatka">
    <w:name w:val="Table Grid"/>
    <w:basedOn w:val="Standardowy"/>
    <w:uiPriority w:val="5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urapolSpecyfikacja">
    <w:name w:val="Tabela Murapol Specyfikacja"/>
    <w:basedOn w:val="Standardowy"/>
    <w:uiPriority w:val="99"/>
    <w:qFormat/>
    <w:pPr>
      <w:jc w:val="center"/>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center"/>
      </w:pPr>
      <w:rPr>
        <w:b/>
      </w:rPr>
      <w:tblPr/>
      <w:tcPr>
        <w:shd w:val="clear" w:color="auto" w:fill="548DD4" w:themeFill="text2" w:themeFillTint="99"/>
      </w:tcPr>
    </w:tblStylePr>
    <w:tblStylePr w:type="lastCol">
      <w:pPr>
        <w:jc w:val="left"/>
      </w:pPr>
    </w:tblStylePr>
  </w:style>
  <w:style w:type="table" w:customStyle="1" w:styleId="TabelaMurapolSpecyfikacjainnykolor">
    <w:name w:val="Tabela Murapol Specyfikacja inny kolor"/>
    <w:basedOn w:val="TabelaMurapolSpecyfikacja"/>
    <w:uiPriority w:val="99"/>
    <w:tblPr/>
    <w:tblStylePr w:type="firstRow">
      <w:pPr>
        <w:jc w:val="center"/>
      </w:pPr>
      <w:rPr>
        <w:b/>
      </w:rPr>
      <w:tblPr/>
      <w:tcPr>
        <w:shd w:val="clear" w:color="auto" w:fill="FFFF00"/>
      </w:tcPr>
    </w:tblStylePr>
    <w:tblStylePr w:type="lastCol">
      <w:pPr>
        <w:jc w:val="left"/>
      </w:pPr>
    </w:tblStylePr>
  </w:style>
  <w:style w:type="table" w:customStyle="1" w:styleId="Murapolpowiadomienia">
    <w:name w:val="Murapol powiadomienia"/>
    <w:basedOn w:val="Standardowy"/>
    <w:uiPriority w:val="9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heme="minorHAnsi" w:hAnsiTheme="minorHAnsi"/>
        <w:b/>
        <w:sz w:val="22"/>
      </w:rPr>
      <w:tblPr/>
      <w:tcPr>
        <w:shd w:val="clear" w:color="auto" w:fill="B8CCE4" w:themeFill="accent1" w:themeFillTint="66"/>
      </w:tcPr>
    </w:tblStylePr>
  </w:style>
  <w:style w:type="paragraph" w:customStyle="1" w:styleId="MurapolNazwaAkcji">
    <w:name w:val="Murapol Nazwa Akcji"/>
    <w:basedOn w:val="Normalny"/>
    <w:qFormat/>
    <w:pPr>
      <w:tabs>
        <w:tab w:val="left" w:pos="10206"/>
      </w:tabs>
      <w:spacing w:after="0" w:line="240" w:lineRule="auto"/>
    </w:pPr>
    <w:rPr>
      <w:rFonts w:ascii="Arial" w:hAnsi="Arial" w:cs="Arial"/>
      <w:b/>
    </w:rPr>
  </w:style>
  <w:style w:type="paragraph" w:customStyle="1" w:styleId="MurapolTrepowiadomienia">
    <w:name w:val="Murapol Treść powiadomienia"/>
    <w:basedOn w:val="Normalny"/>
    <w:qFormat/>
    <w:pPr>
      <w:tabs>
        <w:tab w:val="left" w:pos="10206"/>
      </w:tabs>
      <w:spacing w:after="0" w:line="240" w:lineRule="auto"/>
    </w:pPr>
    <w:rPr>
      <w:rFonts w:ascii="Arial" w:hAnsi="Arial" w:cs="Arial"/>
    </w:rPr>
  </w:style>
  <w:style w:type="character" w:customStyle="1" w:styleId="Nagwek1Znak">
    <w:name w:val="Nagłówek 1 Znak"/>
    <w:basedOn w:val="Domylnaczcionkaakapitu"/>
    <w:link w:val="Nagwek1"/>
    <w:uiPriority w:val="9"/>
    <w:qFormat/>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qFormat/>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qFormat/>
    <w:rPr>
      <w:rFonts w:asciiTheme="majorHAnsi" w:eastAsiaTheme="majorEastAsia" w:hAnsiTheme="majorHAnsi" w:cstheme="majorBidi"/>
      <w:b/>
      <w:bCs/>
      <w:color w:val="4F81BD" w:themeColor="accent1"/>
      <w:lang w:eastAsia="pl-PL"/>
    </w:rPr>
  </w:style>
  <w:style w:type="character" w:customStyle="1" w:styleId="NagwekZnak">
    <w:name w:val="Nagłówek Znak"/>
    <w:basedOn w:val="Domylnaczcionkaakapitu"/>
    <w:link w:val="Nagwek"/>
    <w:uiPriority w:val="99"/>
    <w:qFormat/>
  </w:style>
  <w:style w:type="character" w:customStyle="1" w:styleId="StopkaZnak">
    <w:name w:val="Stopka Znak"/>
    <w:basedOn w:val="Domylnaczcionkaakapitu"/>
    <w:link w:val="Stopka"/>
    <w:uiPriority w:val="99"/>
    <w:qFormat/>
    <w:rPr>
      <w:rFonts w:eastAsiaTheme="minorEastAsia"/>
      <w:lang w:eastAsia="pl-PL"/>
    </w:rPr>
  </w:style>
  <w:style w:type="character" w:customStyle="1" w:styleId="TekstdymkaZnak">
    <w:name w:val="Tekst dymka Znak"/>
    <w:basedOn w:val="Domylnaczcionkaakapitu"/>
    <w:link w:val="Tekstdymka"/>
    <w:uiPriority w:val="99"/>
    <w:semiHidden/>
    <w:qFormat/>
    <w:rPr>
      <w:rFonts w:ascii="Tahoma" w:eastAsiaTheme="minorEastAsia" w:hAnsi="Tahoma" w:cs="Tahoma"/>
      <w:sz w:val="16"/>
      <w:szCs w:val="16"/>
      <w:lang w:eastAsia="pl-PL"/>
    </w:rPr>
  </w:style>
  <w:style w:type="paragraph" w:styleId="Akapitzlist">
    <w:name w:val="List Paragraph"/>
    <w:basedOn w:val="Normalny"/>
    <w:uiPriority w:val="34"/>
    <w:qFormat/>
    <w:pPr>
      <w:ind w:left="720"/>
      <w:contextualSpacing/>
    </w:pPr>
  </w:style>
  <w:style w:type="character" w:customStyle="1" w:styleId="TekstprzypisudolnegoZnak">
    <w:name w:val="Tekst przypisu dolnego Znak"/>
    <w:basedOn w:val="Domylnaczcionkaakapitu"/>
    <w:link w:val="Tekstprzypisudolnego"/>
    <w:uiPriority w:val="99"/>
    <w:semiHidden/>
    <w:qFormat/>
    <w:rPr>
      <w:rFonts w:eastAsiaTheme="minorEastAsia"/>
      <w:sz w:val="20"/>
      <w:szCs w:val="20"/>
      <w:lang w:eastAsia="pl-PL"/>
    </w:rPr>
  </w:style>
  <w:style w:type="paragraph" w:customStyle="1" w:styleId="Normalny3">
    <w:name w:val="Normalny3"/>
    <w:basedOn w:val="Normalny"/>
    <w:qFormat/>
    <w:pPr>
      <w:widowControl w:val="0"/>
      <w:suppressAutoHyphens/>
      <w:autoSpaceDE w:val="0"/>
      <w:spacing w:after="0" w:line="240" w:lineRule="auto"/>
    </w:pPr>
    <w:rPr>
      <w:rFonts w:ascii="Times New Roman" w:eastAsia="Times New Roman" w:hAnsi="Times New Roman" w:cs="Times New Roman"/>
      <w:kern w:val="1"/>
      <w:sz w:val="20"/>
      <w:szCs w:val="20"/>
      <w:lang w:bidi="pl-PL"/>
    </w:rPr>
  </w:style>
  <w:style w:type="character" w:customStyle="1" w:styleId="Nierozpoznanawzmianka1">
    <w:name w:val="Nierozpoznana wzmianka1"/>
    <w:basedOn w:val="Domylnaczcionkaakapitu"/>
    <w:uiPriority w:val="99"/>
    <w:semiHidden/>
    <w:unhideWhenUsed/>
    <w:qFormat/>
    <w:rPr>
      <w:color w:val="605E5C"/>
      <w:shd w:val="clear" w:color="auto" w:fill="E1DFDD"/>
    </w:rPr>
  </w:style>
  <w:style w:type="character" w:customStyle="1" w:styleId="TekstkomentarzaZnak">
    <w:name w:val="Tekst komentarza Znak"/>
    <w:basedOn w:val="Domylnaczcionkaakapitu"/>
    <w:link w:val="Tekstkomentarza"/>
    <w:uiPriority w:val="99"/>
    <w:qFormat/>
    <w:rPr>
      <w:rFonts w:eastAsiaTheme="minorEastAsia"/>
      <w:sz w:val="20"/>
      <w:szCs w:val="20"/>
      <w:lang w:eastAsia="pl-PL"/>
    </w:rPr>
  </w:style>
  <w:style w:type="character" w:customStyle="1" w:styleId="TematkomentarzaZnak">
    <w:name w:val="Temat komentarza Znak"/>
    <w:basedOn w:val="TekstkomentarzaZnak"/>
    <w:link w:val="Tematkomentarza"/>
    <w:uiPriority w:val="99"/>
    <w:semiHidden/>
    <w:qFormat/>
    <w:rPr>
      <w:rFonts w:eastAsiaTheme="minorEastAsia"/>
      <w:b/>
      <w:bCs/>
      <w:sz w:val="20"/>
      <w:szCs w:val="20"/>
      <w:lang w:eastAsia="pl-PL"/>
    </w:rPr>
  </w:style>
  <w:style w:type="paragraph" w:customStyle="1" w:styleId="Tekstpodstawowywcity31">
    <w:name w:val="Tekst podstawowy wcięty 31"/>
    <w:basedOn w:val="Normalny"/>
    <w:qFormat/>
    <w:pPr>
      <w:suppressAutoHyphens/>
      <w:spacing w:after="120" w:line="240" w:lineRule="auto"/>
      <w:ind w:left="283"/>
    </w:pPr>
    <w:rPr>
      <w:rFonts w:ascii="Arial" w:eastAsia="Times New Roman" w:hAnsi="Arial" w:cs="Times New Roman"/>
      <w:sz w:val="16"/>
      <w:szCs w:val="16"/>
      <w:lang w:eastAsia="ar-SA"/>
    </w:rPr>
  </w:style>
  <w:style w:type="paragraph" w:customStyle="1" w:styleId="Tekstpodstawowywcity32">
    <w:name w:val="Tekst podstawowy wcięty 32"/>
    <w:basedOn w:val="Normalny"/>
    <w:qFormat/>
    <w:pPr>
      <w:suppressAutoHyphens/>
      <w:spacing w:before="120" w:after="0" w:line="360" w:lineRule="auto"/>
      <w:ind w:left="630"/>
      <w:jc w:val="both"/>
    </w:pPr>
    <w:rPr>
      <w:rFonts w:ascii="Arial" w:eastAsia="Times New Roman" w:hAnsi="Arial" w:cs="Arial"/>
      <w:kern w:val="1"/>
      <w:sz w:val="20"/>
      <w:szCs w:val="20"/>
      <w:lang w:eastAsia="ar-SA"/>
    </w:rPr>
  </w:style>
  <w:style w:type="character" w:customStyle="1" w:styleId="TekstprzypisukocowegoZnak">
    <w:name w:val="Tekst przypisu końcowego Znak"/>
    <w:basedOn w:val="Domylnaczcionkaakapitu"/>
    <w:link w:val="Tekstprzypisukocowego"/>
    <w:uiPriority w:val="99"/>
    <w:semiHidden/>
    <w:qFormat/>
    <w:rPr>
      <w:rFonts w:eastAsiaTheme="minorEastAsia"/>
      <w:sz w:val="20"/>
      <w:szCs w:val="20"/>
      <w:lang w:eastAsia="pl-PL"/>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awo.pl/biznes/jakie-od-1-lipca-obowiazuja-zasady-zakupu-mieszkania-od,515914.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p.lex.pl/akty-prawne/dzu-dziennik-ustaw/prawo-upadlosciowe-17021464/art-9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B832A-6BFA-4CB2-9535-3216ED190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5560</Words>
  <Characters>33361</Characters>
  <Application>Microsoft Office Word</Application>
  <DocSecurity>0</DocSecurity>
  <Lines>278</Lines>
  <Paragraphs>77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38844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 Kruczek</dc:creator>
  <cp:lastModifiedBy>Małgorzata Miazgowska</cp:lastModifiedBy>
  <cp:revision>4</cp:revision>
  <cp:lastPrinted>2023-06-19T11:15:00Z</cp:lastPrinted>
  <dcterms:created xsi:type="dcterms:W3CDTF">2025-02-11T13:49:00Z</dcterms:created>
  <dcterms:modified xsi:type="dcterms:W3CDTF">2025-09-22T08:25:00Z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1045-12.2.0.13359</vt:lpwstr>
  </property>
  <property fmtid="{D5CDD505-2E9C-101B-9397-08002B2CF9AE}" pid="3" name="ICV">
    <vt:lpwstr>3B1946055B434DEEB7A8EF242B8EF67A_12</vt:lpwstr>
  </property>
</Properties>
</file>